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CF13BD">
        <w:rPr>
          <w:rFonts w:cs="Times New Roman"/>
          <w:b/>
          <w:sz w:val="52"/>
          <w:szCs w:val="52"/>
        </w:rPr>
        <w:t>3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Pr="004508CF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</w:rPr>
      </w:pPr>
      <w:r w:rsidRPr="004508CF">
        <w:rPr>
          <w:rFonts w:cs="Times New Roman"/>
        </w:rPr>
        <w:t>Rujan 20</w:t>
      </w:r>
      <w:r w:rsidR="005A0213">
        <w:rPr>
          <w:rFonts w:cs="Times New Roman"/>
        </w:rPr>
        <w:t>2</w:t>
      </w:r>
      <w:r w:rsidR="00CF13BD">
        <w:rPr>
          <w:rFonts w:cs="Times New Roman"/>
        </w:rPr>
        <w:t>2</w:t>
      </w:r>
      <w:r w:rsidRPr="004508CF">
        <w:rPr>
          <w:rFonts w:cs="Times New Roman"/>
        </w:rPr>
        <w:t>.g.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125FE3" w:rsidRPr="004508CF" w:rsidRDefault="00125FE3" w:rsidP="00E63A34">
      <w:pPr>
        <w:rPr>
          <w:rFonts w:cs="Times New Roman"/>
          <w:color w:val="FF0000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DF2E00" w:rsidRPr="00DF2E00" w:rsidRDefault="00DF2E00" w:rsidP="00F84779">
      <w:pPr>
        <w:jc w:val="both"/>
        <w:rPr>
          <w:rFonts w:cs="Times New Roman"/>
          <w:b/>
        </w:rPr>
      </w:pPr>
      <w:r w:rsidRPr="00DF2E00">
        <w:rPr>
          <w:rFonts w:cs="Times New Roman"/>
        </w:rPr>
        <w:t xml:space="preserve">Sukladno Zakonu o uvođen ju eura kao službene valute u RH i Uputi o procesu prilagodbe poslovnih procesa subjekata opće države za poslovanje u euru iz ožujka 2022.g. Koordinacijskog odbora za prilagodbu opće države </w:t>
      </w:r>
      <w:r w:rsidRPr="00DF2E00">
        <w:rPr>
          <w:rFonts w:cs="Times New Roman"/>
          <w:b/>
        </w:rPr>
        <w:t>proračun za razdoblje nakon dana uvođenja eura sastavlja se, donos</w:t>
      </w:r>
      <w:r>
        <w:rPr>
          <w:rFonts w:cs="Times New Roman"/>
          <w:b/>
        </w:rPr>
        <w:t>i i objavljuje</w:t>
      </w:r>
      <w:r w:rsidRPr="00DF2E00">
        <w:rPr>
          <w:rFonts w:cs="Times New Roman"/>
          <w:b/>
        </w:rPr>
        <w:t xml:space="preserve"> n</w:t>
      </w:r>
      <w:r>
        <w:rPr>
          <w:rFonts w:cs="Times New Roman"/>
          <w:b/>
        </w:rPr>
        <w:t>a način da se vrijednosti u proračunu</w:t>
      </w:r>
      <w:r w:rsidRPr="00DF2E00">
        <w:rPr>
          <w:rFonts w:cs="Times New Roman"/>
          <w:b/>
        </w:rPr>
        <w:t xml:space="preserve"> iskazuju u euru.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CF13BD" w:rsidRPr="00DF2E00">
        <w:rPr>
          <w:rFonts w:cs="Times New Roman"/>
        </w:rPr>
        <w:t>3</w:t>
      </w:r>
      <w:r w:rsidRPr="00DF2E00">
        <w:rPr>
          <w:rFonts w:cs="Times New Roman"/>
        </w:rPr>
        <w:t xml:space="preserve">. godinu planirani su u iznosu od </w:t>
      </w:r>
      <w:r w:rsidR="004B5F1C">
        <w:rPr>
          <w:rFonts w:cs="Times New Roman"/>
        </w:rPr>
        <w:t>40.494.177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CF13BD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CF13BD">
              <w:rPr>
                <w:rFonts w:cs="Times New Roman"/>
                <w:b/>
              </w:rPr>
              <w:t>3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D50093" w:rsidP="0012602F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39.154.815,00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4B5F1C" w:rsidP="00B11E4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3.167.705,00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31.341.498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4B5F1C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497.740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4B5F1C" w:rsidP="00521B9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2.581.068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4B5F1C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469.465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1.097.339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D50093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1.324.047,00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4B5F1C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415.424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908.623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D50093" w:rsidP="002D25EB">
            <w:pPr>
              <w:spacing w:after="0"/>
              <w:jc w:val="right"/>
              <w:rPr>
                <w:rFonts w:cs="Times New Roman"/>
                <w:b/>
              </w:rPr>
            </w:pPr>
            <w:r w:rsidRPr="00D50093">
              <w:rPr>
                <w:rFonts w:cs="Times New Roman"/>
                <w:b/>
              </w:rPr>
              <w:t>15.315,00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D50093" w:rsidP="00B11E4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40.494.177,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772B47" w:rsidRPr="004508CF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6A54DB">
        <w:rPr>
          <w:rFonts w:cs="Times New Roman"/>
        </w:rPr>
        <w:t>rekonstrukciju radničkog doma</w:t>
      </w:r>
      <w:r w:rsidR="00DD7F06" w:rsidRPr="004508CF">
        <w:rPr>
          <w:rFonts w:cs="Times New Roman"/>
        </w:rPr>
        <w:t xml:space="preserve">, 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6A54DB">
        <w:rPr>
          <w:rFonts w:cs="Times New Roman"/>
        </w:rPr>
        <w:t xml:space="preserve">, projekte UO za gospodarstvo: Tehnološki centar, </w:t>
      </w:r>
      <w:proofErr w:type="spellStart"/>
      <w:r w:rsidR="006A54DB">
        <w:rPr>
          <w:rFonts w:cs="Times New Roman"/>
        </w:rPr>
        <w:t>Agro</w:t>
      </w:r>
      <w:proofErr w:type="spellEnd"/>
      <w:r w:rsidR="006A54DB">
        <w:rPr>
          <w:rFonts w:cs="Times New Roman"/>
        </w:rPr>
        <w:t xml:space="preserve"> Vukovar, Skladišno – distribucijski centar, izradu projektne </w:t>
      </w:r>
      <w:r w:rsidR="006A54DB">
        <w:rPr>
          <w:rFonts w:cs="Times New Roman"/>
        </w:rPr>
        <w:lastRenderedPageBreak/>
        <w:t>dokumentacije za Gospodarsku zonu Dunav</w:t>
      </w:r>
      <w:r w:rsidR="00DD7F06" w:rsidRPr="004508CF">
        <w:rPr>
          <w:rFonts w:cs="Times New Roman"/>
        </w:rPr>
        <w:t>).</w:t>
      </w:r>
      <w:r w:rsidR="00DE7619">
        <w:rPr>
          <w:rFonts w:cs="Times New Roman"/>
        </w:rPr>
        <w:t xml:space="preserve"> Veliki dio (</w:t>
      </w:r>
      <w:r w:rsidR="006A54DB">
        <w:rPr>
          <w:rFonts w:cs="Times New Roman"/>
        </w:rPr>
        <w:t>10,</w:t>
      </w:r>
      <w:r w:rsidR="006A54DB" w:rsidRPr="006A54DB">
        <w:rPr>
          <w:rFonts w:cs="Times New Roman"/>
        </w:rPr>
        <w:t>6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Sljedeća izdašna skupina prihoda poslovanja jesu prihodi od poreza. Najveći dio ovih prihoda čini prihod od poreza na dohodak, </w:t>
      </w:r>
      <w:r w:rsidR="006A54DB">
        <w:rPr>
          <w:rFonts w:cs="Times New Roman"/>
        </w:rPr>
        <w:t xml:space="preserve">gotovo 2,6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6A54DB">
        <w:rPr>
          <w:rFonts w:cs="Times New Roman"/>
        </w:rPr>
        <w:t>82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6A54DB">
        <w:rPr>
          <w:rFonts w:cs="Times New Roman"/>
        </w:rPr>
        <w:t xml:space="preserve">0,5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Pr="004508CF">
        <w:rPr>
          <w:rFonts w:cs="Times New Roman"/>
        </w:rPr>
        <w:t xml:space="preserve"> 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Prihodi od imovine odnose na prihode od financijske imovine (prihodi od kamata) i nefinancijske imovine (prihodi od zakupa poslovnih prostora, zemljišta, zakupa javnih gradskih površina te prihoda od koncesija).</w:t>
      </w:r>
    </w:p>
    <w:p w:rsidR="00171D30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Pr="004508CF">
        <w:rPr>
          <w:rFonts w:cs="Times New Roman"/>
        </w:rPr>
        <w:t>upravne pristojbe za izdavanje lokacijskih dozvola i drugih akata vezanih uz građenje.</w:t>
      </w:r>
    </w:p>
    <w:p w:rsidR="00171D30" w:rsidRPr="004508CF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CF13BD">
        <w:t>3</w:t>
      </w:r>
      <w:r w:rsidRPr="004508CF">
        <w:t>.g.</w:t>
      </w:r>
    </w:p>
    <w:p w:rsidR="004D0C62" w:rsidRPr="004508CF" w:rsidRDefault="006A54DB" w:rsidP="00E63A34">
      <w:r>
        <w:rPr>
          <w:noProof/>
          <w:lang w:eastAsia="hr-HR"/>
        </w:rPr>
        <w:drawing>
          <wp:inline distT="0" distB="0" distL="0" distR="0" wp14:anchorId="083F3553" wp14:editId="7EF60EC2">
            <wp:extent cx="5760720" cy="45967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Ukupni planirani rashodi </w:t>
      </w:r>
      <w:r w:rsidR="005B36CF">
        <w:rPr>
          <w:rFonts w:cs="Times New Roman"/>
        </w:rPr>
        <w:t>proračuna Grada Vukovara za 202</w:t>
      </w:r>
      <w:r w:rsidR="00CF13BD">
        <w:rPr>
          <w:rFonts w:cs="Times New Roman"/>
        </w:rPr>
        <w:t>3</w:t>
      </w:r>
      <w:r w:rsidRPr="004508CF">
        <w:rPr>
          <w:rFonts w:cs="Times New Roman"/>
        </w:rPr>
        <w:t xml:space="preserve">.g. iznose </w:t>
      </w:r>
      <w:r w:rsidR="00C83129">
        <w:rPr>
          <w:rFonts w:cs="Times New Roman"/>
        </w:rPr>
        <w:t>45.265.00,00 €</w:t>
      </w:r>
      <w:r w:rsidRPr="004508CF">
        <w:rPr>
          <w:rFonts w:cs="Times New Roman"/>
        </w:rPr>
        <w:t>, a odnose se na rashode gradske uprave i rashode 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 Grada Vukovara za 202</w:t>
      </w:r>
      <w:r w:rsidR="00CF13BD">
        <w:rPr>
          <w:rFonts w:cs="Times New Roman"/>
        </w:rPr>
        <w:t>3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 odnosno planiranim viškovima proračuna i proračunskih korisnika.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C83129">
        <w:t>3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CF13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2023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C83129" w:rsidRDefault="00C83129" w:rsidP="00621D99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33.118.495</w:t>
            </w:r>
            <w:r w:rsidR="004C64CB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C83129" w:rsidP="00C875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13.555.300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14.982.840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94.786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680.870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C83129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1.430.669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2.374.030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12.039.567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C83129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120.778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11.755.541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399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162.849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106.938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C83129" w:rsidP="006B24D0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45.265.000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615BB1" w:rsidRPr="004508CF" w:rsidRDefault="00570126" w:rsidP="00F84779">
      <w:pPr>
        <w:pStyle w:val="Naslov3"/>
        <w:jc w:val="both"/>
        <w:rPr>
          <w:rFonts w:asciiTheme="minorHAnsi" w:hAnsiTheme="minorHAnsi" w:cs="Times New Roman"/>
          <w:b w:val="0"/>
          <w:color w:val="auto"/>
        </w:rPr>
      </w:pPr>
      <w:r w:rsidRPr="004508CF">
        <w:rPr>
          <w:rFonts w:asciiTheme="minorHAnsi" w:hAnsiTheme="minorHAnsi" w:cs="Times New Roman"/>
          <w:b w:val="0"/>
          <w:color w:val="auto"/>
        </w:rPr>
        <w:t xml:space="preserve">Kod rashoda poslovanja najveći dio odlazi na materijalne rashode, zatim na rashode za zaposlene te ostale rashode. 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F76B80" w:rsidRPr="00F76B80">
        <w:rPr>
          <w:rFonts w:eastAsia="Times New Roman" w:cs="Times New Roman"/>
          <w:lang w:eastAsia="hr-HR"/>
        </w:rPr>
        <w:t>14.982.840</w:t>
      </w:r>
      <w:r w:rsidR="002154A2" w:rsidRPr="00F76B80">
        <w:rPr>
          <w:rFonts w:eastAsia="Times New Roman" w:cs="Times New Roman"/>
          <w:lang w:eastAsia="hr-HR"/>
        </w:rPr>
        <w:t>,00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307192" w:rsidRPr="004508CF" w:rsidRDefault="00307192" w:rsidP="00F84779">
      <w:pPr>
        <w:spacing w:after="0" w:line="240" w:lineRule="auto"/>
        <w:jc w:val="both"/>
      </w:pPr>
      <w:r w:rsidRPr="004508CF">
        <w:rPr>
          <w:rFonts w:eastAsia="Times New Roman" w:cs="Times New Roman"/>
          <w:lang w:eastAsia="hr-HR"/>
        </w:rPr>
        <w:t>Rashodi za zaposlene (</w:t>
      </w:r>
      <w:r w:rsidR="00BD4CC6">
        <w:rPr>
          <w:rFonts w:eastAsia="Times New Roman" w:cs="Times New Roman"/>
          <w:lang w:eastAsia="hr-HR"/>
        </w:rPr>
        <w:t>13.555.300,00 €</w:t>
      </w:r>
      <w:r w:rsidRPr="004508CF">
        <w:rPr>
          <w:rFonts w:eastAsia="Times New Roman" w:cs="Times New Roman"/>
          <w:lang w:eastAsia="hr-HR"/>
        </w:rPr>
        <w:t>) su plaće, doprinosi i ostali rashodi za zaposlene, uključujući i rashode za zaposlene u proračunskim korisnicima, za zaposlene u javnim radovima, kao i za zaposlene na projektima koji se finan</w:t>
      </w:r>
      <w:r w:rsidRPr="004508CF">
        <w:t>ciraju iz sredstava EU. Od ukupnih</w:t>
      </w:r>
      <w:r w:rsidR="004A48C8">
        <w:t xml:space="preserve"> planiranih</w:t>
      </w:r>
      <w:r w:rsidR="002154A2">
        <w:t xml:space="preserve"> rashoda za </w:t>
      </w:r>
      <w:r w:rsidR="002154A2" w:rsidRPr="00705CF4">
        <w:t>zaposlene 1</w:t>
      </w:r>
      <w:r w:rsidR="00BD4CC6" w:rsidRPr="00705CF4">
        <w:t>.439.865,00 €</w:t>
      </w:r>
      <w:r w:rsidRPr="00705CF4">
        <w:t xml:space="preserve"> se odnosi na zaposlene u upravnim tijelima Grada Vukovara,  </w:t>
      </w:r>
      <w:r w:rsidR="00705CF4" w:rsidRPr="00705CF4">
        <w:t>8.028.092 €</w:t>
      </w:r>
      <w:r w:rsidRPr="00705CF4">
        <w:t xml:space="preserve"> na</w:t>
      </w:r>
      <w:r w:rsidR="004A48C8" w:rsidRPr="00705CF4">
        <w:t xml:space="preserve"> </w:t>
      </w:r>
      <w:r w:rsidR="00E07FE7" w:rsidRPr="00705CF4">
        <w:t xml:space="preserve">zaposlene u osnovnim školama, </w:t>
      </w:r>
      <w:r w:rsidR="00705CF4" w:rsidRPr="00705CF4">
        <w:t>3.656.970,00 €</w:t>
      </w:r>
      <w:r w:rsidRPr="00705CF4">
        <w:t xml:space="preserve"> na zaposlene u ostalim proračunskim korisnicima, dok se preostali iznos odnosi na zaposlene</w:t>
      </w:r>
      <w:r w:rsidRPr="004508CF">
        <w:t xml:space="preserve"> preko projekata (javni radovi, Pokloni mi osmjeh</w:t>
      </w:r>
      <w:r w:rsidR="00E07FE7">
        <w:t xml:space="preserve">, </w:t>
      </w:r>
      <w:r w:rsidR="00CF13BD">
        <w:t>pomoćnici u nastavi, razvoj STEM-a</w:t>
      </w:r>
      <w:r w:rsidRPr="004508CF">
        <w:t xml:space="preserve">). 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CF13BD">
        <w:t>3</w:t>
      </w:r>
      <w:r w:rsidRPr="004508CF">
        <w:t>.g.</w:t>
      </w:r>
    </w:p>
    <w:p w:rsidR="00686F06" w:rsidRDefault="00813845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21D5A8C9" wp14:editId="3B6F05F2">
            <wp:extent cx="5760720" cy="4116705"/>
            <wp:effectExtent l="0" t="0" r="11430" b="1714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4026AD">
        <w:t>11.755.541 €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Grada, izgradnja gospodarske infrastrukture</w:t>
      </w:r>
      <w:r w:rsidR="004026AD">
        <w:t xml:space="preserve">, izgradnja </w:t>
      </w:r>
      <w:proofErr w:type="spellStart"/>
      <w:r w:rsidR="004026AD">
        <w:t>reciklažnog</w:t>
      </w:r>
      <w:proofErr w:type="spellEnd"/>
      <w:r w:rsidR="004026AD">
        <w:t xml:space="preserve"> dvoriš</w:t>
      </w:r>
      <w:bookmarkStart w:id="0" w:name="_GoBack"/>
      <w:bookmarkEnd w:id="0"/>
      <w:r w:rsidR="004026AD">
        <w:t>a</w:t>
      </w:r>
      <w:r w:rsidR="00927477" w:rsidRPr="004508CF">
        <w:t xml:space="preserve"> i sl.).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3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431FB5">
        <w:rPr>
          <w:rFonts w:eastAsia="Times New Roman" w:cs="Times New Roman"/>
          <w:color w:val="000000"/>
          <w:lang w:eastAsia="hr-HR"/>
        </w:rPr>
        <w:t xml:space="preserve">, </w:t>
      </w:r>
      <w:r w:rsidR="00431FB5">
        <w:t>U</w:t>
      </w:r>
      <w:r w:rsidR="00431FB5" w:rsidRPr="004508CF">
        <w:t>red gradonačelnika</w:t>
      </w:r>
      <w:r w:rsidRPr="004508CF">
        <w:rPr>
          <w:rFonts w:eastAsia="Times New Roman" w:cs="Times New Roman"/>
          <w:color w:val="000000"/>
          <w:lang w:eastAsia="hr-HR"/>
        </w:rPr>
        <w:t xml:space="preserve"> 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lastRenderedPageBreak/>
        <w:t xml:space="preserve">Grafikon 3. Organizacijska klasifikacija; Prikaz rashoda po upravnim tijelima Grada Vukovara </w:t>
      </w:r>
    </w:p>
    <w:p w:rsidR="00617DF8" w:rsidRPr="004508CF" w:rsidRDefault="004026AD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2BB41F5C" wp14:editId="39D1B012">
            <wp:extent cx="5760720" cy="5048250"/>
            <wp:effectExtent l="0" t="0" r="1143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4026AD">
        <w:rPr>
          <w:rFonts w:eastAsia="Times New Roman" w:cs="Times New Roman"/>
          <w:color w:val="000000"/>
          <w:lang w:eastAsia="hr-HR"/>
        </w:rPr>
        <w:t>39,71%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1056F4" w:rsidRPr="004508CF">
        <w:rPr>
          <w:rFonts w:eastAsia="Times New Roman" w:cs="Times New Roman"/>
          <w:color w:val="000000"/>
          <w:lang w:eastAsia="hr-HR"/>
        </w:rPr>
        <w:t>branitelje</w:t>
      </w:r>
      <w:r w:rsidR="001056F4" w:rsidRPr="001056F4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4,59%, proračunski korisnici u nadležnosti odjela </w:t>
      </w:r>
      <w:r w:rsidR="001056F4" w:rsidRPr="001056F4">
        <w:rPr>
          <w:rFonts w:eastAsia="Times New Roman" w:cs="Times New Roman"/>
          <w:color w:val="000000"/>
          <w:lang w:eastAsia="hr-HR"/>
        </w:rPr>
        <w:t>35</w:t>
      </w:r>
      <w:r w:rsidR="004026AD" w:rsidRPr="001056F4">
        <w:rPr>
          <w:rFonts w:eastAsia="Times New Roman" w:cs="Times New Roman"/>
          <w:color w:val="000000"/>
          <w:lang w:eastAsia="hr-HR"/>
        </w:rPr>
        <w:t>,</w:t>
      </w:r>
      <w:r w:rsidR="001056F4" w:rsidRPr="001056F4">
        <w:rPr>
          <w:rFonts w:eastAsia="Times New Roman" w:cs="Times New Roman"/>
          <w:color w:val="000000"/>
          <w:lang w:eastAsia="hr-HR"/>
        </w:rPr>
        <w:t>12</w:t>
      </w:r>
      <w:r w:rsidR="004026AD" w:rsidRPr="001056F4">
        <w:rPr>
          <w:rFonts w:eastAsia="Times New Roman" w:cs="Times New Roman"/>
          <w:color w:val="000000"/>
          <w:lang w:eastAsia="hr-HR"/>
        </w:rPr>
        <w:t>%).</w:t>
      </w:r>
    </w:p>
    <w:p w:rsidR="001056F4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1056F4">
        <w:rPr>
          <w:rFonts w:eastAsia="Times New Roman" w:cs="Times New Roman"/>
          <w:color w:val="000000"/>
          <w:lang w:eastAsia="hr-HR"/>
        </w:rPr>
        <w:t>komunalno gospodarstvo i graditeljstvo</w:t>
      </w:r>
      <w:r w:rsidRPr="004508CF">
        <w:rPr>
          <w:rFonts w:eastAsia="Times New Roman" w:cs="Times New Roman"/>
          <w:color w:val="000000"/>
          <w:lang w:eastAsia="hr-HR"/>
        </w:rPr>
        <w:t xml:space="preserve"> koji u ukupnim rashodima sudjeluje s </w:t>
      </w:r>
      <w:r w:rsidR="001056F4" w:rsidRPr="001056F4">
        <w:rPr>
          <w:rFonts w:eastAsia="Times New Roman" w:cs="Times New Roman"/>
          <w:color w:val="000000"/>
          <w:lang w:eastAsia="hr-HR"/>
        </w:rPr>
        <w:t>30,44</w:t>
      </w:r>
      <w:r w:rsidRPr="001056F4">
        <w:rPr>
          <w:rFonts w:eastAsia="Times New Roman" w:cs="Times New Roman"/>
          <w:color w:val="000000"/>
          <w:lang w:eastAsia="hr-HR"/>
        </w:rPr>
        <w:t>%.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1056F4" w:rsidRPr="004508CF">
        <w:rPr>
          <w:rFonts w:cs="Times New Roman"/>
        </w:rPr>
        <w:t>Rezultat je to održavanja i izgradnje komunalne infrastrukture kao i izgradnje objekata koji su dio Intervencijskog plana a koji su po organizacijskoj klasifikaciji smješteni u ovaj odjel.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202EFA">
        <w:rPr>
          <w:rFonts w:eastAsia="Times New Roman" w:cs="Times New Roman"/>
          <w:color w:val="000000"/>
          <w:lang w:eastAsia="hr-HR"/>
        </w:rPr>
        <w:t>3,13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s </w:t>
      </w:r>
      <w:r w:rsidRPr="00202EFA">
        <w:rPr>
          <w:rFonts w:eastAsia="Times New Roman" w:cs="Times New Roman"/>
          <w:color w:val="000000"/>
          <w:lang w:eastAsia="hr-HR"/>
        </w:rPr>
        <w:t>1,</w:t>
      </w:r>
      <w:r w:rsidR="00202EFA" w:rsidRPr="00202EFA">
        <w:rPr>
          <w:rFonts w:eastAsia="Times New Roman" w:cs="Times New Roman"/>
          <w:color w:val="000000"/>
          <w:lang w:eastAsia="hr-HR"/>
        </w:rPr>
        <w:t>96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CF13BD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B52B27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04A47482" wp14:editId="1D31CD52">
            <wp:extent cx="6265545" cy="8705850"/>
            <wp:effectExtent l="0" t="0" r="1905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464D40">
        <w:rPr>
          <w:rFonts w:eastAsia="Times New Roman" w:cs="Times New Roman"/>
          <w:color w:val="000000"/>
          <w:lang w:eastAsia="hr-HR"/>
        </w:rPr>
        <w:t>3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345C0F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27E246D7" wp14:editId="234EAE0E">
            <wp:extent cx="6219825" cy="4724400"/>
            <wp:effectExtent l="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125FE3" w:rsidP="00F84779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 xml:space="preserve">ONI KOJI ŽELE PROUČITI CIJELI PRORAČUN GRADA VUKOVARA </w:t>
      </w:r>
      <w:r w:rsidRPr="004508CF">
        <w:rPr>
          <w:rFonts w:cs="Times New Roman"/>
        </w:rPr>
        <w:t>službeni  dokument koji je donijelo Gradsko vijeće Grada Vukovara koji osim plana prihoda i rashoda za 202</w:t>
      </w:r>
      <w:r w:rsidR="00464D40">
        <w:rPr>
          <w:rFonts w:cs="Times New Roman"/>
        </w:rPr>
        <w:t>3</w:t>
      </w:r>
      <w:r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464D40">
        <w:rPr>
          <w:rFonts w:cs="Times New Roman"/>
        </w:rPr>
        <w:t>4</w:t>
      </w:r>
      <w:r w:rsidRPr="004508CF">
        <w:rPr>
          <w:rFonts w:cs="Times New Roman"/>
        </w:rPr>
        <w:t>. i 202</w:t>
      </w:r>
      <w:r w:rsidR="00464D40">
        <w:rPr>
          <w:rFonts w:cs="Times New Roman"/>
        </w:rPr>
        <w:t>5</w:t>
      </w:r>
      <w:r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345C0F" w:rsidRPr="00345C0F">
        <w:rPr>
          <w:rFonts w:cs="Times New Roman"/>
          <w:b/>
        </w:rPr>
        <w:t>12</w:t>
      </w:r>
      <w:r w:rsidRPr="00345C0F">
        <w:rPr>
          <w:rFonts w:cs="Times New Roman"/>
          <w:b/>
        </w:rPr>
        <w:t>/20</w:t>
      </w:r>
      <w:r w:rsidR="002B1A26" w:rsidRPr="00345C0F">
        <w:rPr>
          <w:rFonts w:cs="Times New Roman"/>
          <w:b/>
        </w:rPr>
        <w:t>2</w:t>
      </w:r>
      <w:r w:rsidR="00345C0F" w:rsidRPr="00345C0F">
        <w:rPr>
          <w:rFonts w:cs="Times New Roman"/>
          <w:b/>
        </w:rPr>
        <w:t>2</w:t>
      </w:r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52538"/>
    <w:rsid w:val="00060B19"/>
    <w:rsid w:val="000C7C52"/>
    <w:rsid w:val="001056F4"/>
    <w:rsid w:val="00125FE3"/>
    <w:rsid w:val="0012602F"/>
    <w:rsid w:val="001464CE"/>
    <w:rsid w:val="00146E6E"/>
    <w:rsid w:val="001557AC"/>
    <w:rsid w:val="00171D30"/>
    <w:rsid w:val="001729DA"/>
    <w:rsid w:val="00172B53"/>
    <w:rsid w:val="00183A5D"/>
    <w:rsid w:val="001C0477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4A72"/>
    <w:rsid w:val="002D25EB"/>
    <w:rsid w:val="00300B52"/>
    <w:rsid w:val="00306F55"/>
    <w:rsid w:val="00307192"/>
    <w:rsid w:val="00317EE9"/>
    <w:rsid w:val="00332300"/>
    <w:rsid w:val="00345C0F"/>
    <w:rsid w:val="00356C55"/>
    <w:rsid w:val="003571CF"/>
    <w:rsid w:val="004026AD"/>
    <w:rsid w:val="0041058E"/>
    <w:rsid w:val="00431FB5"/>
    <w:rsid w:val="004412C7"/>
    <w:rsid w:val="004508CF"/>
    <w:rsid w:val="00464D40"/>
    <w:rsid w:val="004A1754"/>
    <w:rsid w:val="004A48C8"/>
    <w:rsid w:val="004B5F1C"/>
    <w:rsid w:val="004C64CB"/>
    <w:rsid w:val="004D0C62"/>
    <w:rsid w:val="004F0299"/>
    <w:rsid w:val="00513A30"/>
    <w:rsid w:val="00521B91"/>
    <w:rsid w:val="00526D09"/>
    <w:rsid w:val="00561095"/>
    <w:rsid w:val="00563BA1"/>
    <w:rsid w:val="00570126"/>
    <w:rsid w:val="00585174"/>
    <w:rsid w:val="005A0213"/>
    <w:rsid w:val="005A2C22"/>
    <w:rsid w:val="005B36CF"/>
    <w:rsid w:val="00612859"/>
    <w:rsid w:val="00615BB1"/>
    <w:rsid w:val="00617DF8"/>
    <w:rsid w:val="00621D99"/>
    <w:rsid w:val="00641972"/>
    <w:rsid w:val="006442F4"/>
    <w:rsid w:val="0068068B"/>
    <w:rsid w:val="00686F06"/>
    <w:rsid w:val="006A54DB"/>
    <w:rsid w:val="006A796F"/>
    <w:rsid w:val="006B24D0"/>
    <w:rsid w:val="006B70F4"/>
    <w:rsid w:val="006E4387"/>
    <w:rsid w:val="006F5405"/>
    <w:rsid w:val="00705CF4"/>
    <w:rsid w:val="00713E35"/>
    <w:rsid w:val="00751435"/>
    <w:rsid w:val="00752A9F"/>
    <w:rsid w:val="00772B47"/>
    <w:rsid w:val="007834B9"/>
    <w:rsid w:val="00790A8D"/>
    <w:rsid w:val="00806861"/>
    <w:rsid w:val="00813845"/>
    <w:rsid w:val="00814272"/>
    <w:rsid w:val="00852C5F"/>
    <w:rsid w:val="00872B87"/>
    <w:rsid w:val="00881AE0"/>
    <w:rsid w:val="008C3FE3"/>
    <w:rsid w:val="008C3FEB"/>
    <w:rsid w:val="008D4077"/>
    <w:rsid w:val="00903B44"/>
    <w:rsid w:val="00911055"/>
    <w:rsid w:val="00927477"/>
    <w:rsid w:val="009E4ED1"/>
    <w:rsid w:val="00A00301"/>
    <w:rsid w:val="00A1149A"/>
    <w:rsid w:val="00A40B64"/>
    <w:rsid w:val="00A81A1C"/>
    <w:rsid w:val="00AC4F15"/>
    <w:rsid w:val="00AE4212"/>
    <w:rsid w:val="00AF76B5"/>
    <w:rsid w:val="00B11E47"/>
    <w:rsid w:val="00B24F40"/>
    <w:rsid w:val="00B44CE5"/>
    <w:rsid w:val="00B52B27"/>
    <w:rsid w:val="00B56CB2"/>
    <w:rsid w:val="00BB51A7"/>
    <w:rsid w:val="00BC6835"/>
    <w:rsid w:val="00BD4CC6"/>
    <w:rsid w:val="00BE2C47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B19A0"/>
    <w:rsid w:val="00CC38CC"/>
    <w:rsid w:val="00CD203A"/>
    <w:rsid w:val="00CE536A"/>
    <w:rsid w:val="00CF13BD"/>
    <w:rsid w:val="00CF40C2"/>
    <w:rsid w:val="00D2288F"/>
    <w:rsid w:val="00D2674C"/>
    <w:rsid w:val="00D50093"/>
    <w:rsid w:val="00DA490C"/>
    <w:rsid w:val="00DB7A04"/>
    <w:rsid w:val="00DB7F39"/>
    <w:rsid w:val="00DD7F06"/>
    <w:rsid w:val="00DE7619"/>
    <w:rsid w:val="00DF2E00"/>
    <w:rsid w:val="00E07FE7"/>
    <w:rsid w:val="00E21D83"/>
    <w:rsid w:val="00E341AD"/>
    <w:rsid w:val="00E63A34"/>
    <w:rsid w:val="00EA24E4"/>
    <w:rsid w:val="00EB1426"/>
    <w:rsid w:val="00EC3C6C"/>
    <w:rsid w:val="00EE21C3"/>
    <w:rsid w:val="00F00896"/>
    <w:rsid w:val="00F021CD"/>
    <w:rsid w:val="00F139F6"/>
    <w:rsid w:val="00F6068F"/>
    <w:rsid w:val="00F76B80"/>
    <w:rsid w:val="00F7757F"/>
    <w:rsid w:val="00F84779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Prora&#269;un\Prora&#269;un%20z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2\Vodi&#269;\Prora&#269;un%20za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Prora&#269;un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Prora&#269;un\Prora&#269;un%20za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Prora&#269;un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'Prihodi i primici'!$A$5:$A$13</c:f>
              <c:strCache>
                <c:ptCount val="9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  <c:pt idx="8">
                  <c:v>Primici od financijske imovine i zaduživanja</c:v>
                </c:pt>
              </c:strCache>
            </c:strRef>
          </c:cat>
          <c:val>
            <c:numRef>
              <c:f>'Prihodi i primici'!$E$5:$E$13</c:f>
              <c:numCache>
                <c:formatCode>#,##0.00</c:formatCode>
                <c:ptCount val="9"/>
                <c:pt idx="0">
                  <c:v>7.8226185458714221</c:v>
                </c:pt>
                <c:pt idx="1">
                  <c:v>77.397542861532912</c:v>
                </c:pt>
                <c:pt idx="2">
                  <c:v>1.229164380844189</c:v>
                </c:pt>
                <c:pt idx="3">
                  <c:v>6.3739238360122741</c:v>
                </c:pt>
                <c:pt idx="4">
                  <c:v>1.1593395267670215</c:v>
                </c:pt>
                <c:pt idx="5">
                  <c:v>2.709868631235548</c:v>
                </c:pt>
                <c:pt idx="6">
                  <c:v>1.0258857711813725</c:v>
                </c:pt>
                <c:pt idx="7">
                  <c:v>2.2438361940285882</c:v>
                </c:pt>
                <c:pt idx="8">
                  <c:v>3.7820252526678096E-2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78730104"/>
        <c:axId val="478734416"/>
      </c:barChart>
      <c:valAx>
        <c:axId val="478734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30104"/>
        <c:crosses val="autoZero"/>
        <c:crossBetween val="between"/>
      </c:valAx>
      <c:catAx>
        <c:axId val="478730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34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500490873748E-2"/>
          <c:y val="8.0053111270345617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'Rashodi i izdaci - GRAD'!$A$46:$A$57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'Rashodi i izdaci - GRAD'!$E$46:$E$57</c:f>
              <c:numCache>
                <c:formatCode>0.00</c:formatCode>
                <c:ptCount val="12"/>
                <c:pt idx="0">
                  <c:v>19.921645448212502</c:v>
                </c:pt>
                <c:pt idx="1">
                  <c:v>26.523950771840198</c:v>
                </c:pt>
                <c:pt idx="2">
                  <c:v>0.13686438025623679</c:v>
                </c:pt>
                <c:pt idx="3">
                  <c:v>1.8193015578148188</c:v>
                </c:pt>
                <c:pt idx="4">
                  <c:v>0.30510151541156399</c:v>
                </c:pt>
                <c:pt idx="5">
                  <c:v>2.5037694474452041</c:v>
                </c:pt>
                <c:pt idx="6">
                  <c:v>4.4245777342527433</c:v>
                </c:pt>
                <c:pt idx="7">
                  <c:v>0.6097991902997506</c:v>
                </c:pt>
                <c:pt idx="8">
                  <c:v>43.02848085291118</c:v>
                </c:pt>
                <c:pt idx="9">
                  <c:v>6.0576078506597751E-4</c:v>
                </c:pt>
                <c:pt idx="10">
                  <c:v>0.56436713141980233</c:v>
                </c:pt>
                <c:pt idx="11">
                  <c:v>0.16153620935092733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625052593599E-2"/>
          <c:y val="0.41801984969893502"/>
          <c:w val="0.48281218214028071"/>
          <c:h val="0.559488474398821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Organizacijska klasifikacija</a:t>
            </a:r>
          </a:p>
        </c:rich>
      </c:tx>
      <c:layout>
        <c:manualLayout>
          <c:xMode val="edge"/>
          <c:yMode val="edge"/>
          <c:x val="5.9947340705634566E-2"/>
          <c:y val="2.490112846969792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1893950372767819"/>
          <c:y val="0.35738839131361611"/>
          <c:w val="0.48417094782583459"/>
          <c:h val="0.65070093770423398"/>
        </c:manualLayout>
      </c:layout>
      <c:pieChart>
        <c:varyColors val="1"/>
        <c:ser>
          <c:idx val="0"/>
          <c:order val="0"/>
          <c:explosion val="11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klasifikacija'!$A$3:$A$11</c:f>
              <c:strCache>
                <c:ptCount val="9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</c:strCache>
            </c:strRef>
          </c:cat>
          <c:val>
            <c:numRef>
              <c:f>'Org. klasifikacija'!$C$3:$C$11</c:f>
              <c:numCache>
                <c:formatCode>#,##0.00</c:formatCode>
                <c:ptCount val="9"/>
                <c:pt idx="0">
                  <c:v>4.3437777532309738</c:v>
                </c:pt>
                <c:pt idx="1">
                  <c:v>1.8443322655473322</c:v>
                </c:pt>
                <c:pt idx="2">
                  <c:v>30.439507345631284</c:v>
                </c:pt>
                <c:pt idx="3">
                  <c:v>0.38958577267204242</c:v>
                </c:pt>
                <c:pt idx="4">
                  <c:v>4.0362465481056002</c:v>
                </c:pt>
                <c:pt idx="5">
                  <c:v>10.369097536728157</c:v>
                </c:pt>
                <c:pt idx="6">
                  <c:v>0.68248978239257707</c:v>
                </c:pt>
                <c:pt idx="7">
                  <c:v>6.9088699878493309E-2</c:v>
                </c:pt>
                <c:pt idx="8">
                  <c:v>39.70696564674693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9.8448175110186692E-2"/>
          <c:w val="0.86960397722796501"/>
          <c:h val="0.46589621325125785"/>
        </c:manualLayout>
      </c:layout>
      <c:overlay val="0"/>
      <c:txPr>
        <a:bodyPr/>
        <a:lstStyle/>
        <a:p>
          <a:pPr rtl="0">
            <a:defRPr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667555811611665E-2"/>
          <c:y val="7.795800894424546E-3"/>
          <c:w val="0.84036815558780498"/>
          <c:h val="0.5911479911759740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'Proračunski korisnici'!$A$2:$A$26</c:f>
              <c:strCache>
                <c:ptCount val="25"/>
                <c:pt idx="0">
                  <c:v>Otplate zajmova</c:v>
                </c:pt>
                <c:pt idx="1">
                  <c:v>Upravni odjel za opće poslove</c:v>
                </c:pt>
                <c:pt idx="2">
                  <c:v>Javna vatrogasna postrojba Vukovar</c:v>
                </c:pt>
                <c:pt idx="3">
                  <c:v>Ured gradonačelnika</c:v>
                </c:pt>
                <c:pt idx="4">
                  <c:v>Upravni odjel za komunalno gospodarstvo i graditeljstvo</c:v>
                </c:pt>
                <c:pt idx="5">
                  <c:v>Služba - vlastiti pogon</c:v>
                </c:pt>
                <c:pt idx="6">
                  <c:v>Upravni odjel za prostorno uređenje i imovinu</c:v>
                </c:pt>
                <c:pt idx="7">
                  <c:v>Upravni odjel za gospodarstvo</c:v>
                </c:pt>
                <c:pt idx="8">
                  <c:v>Upravni odjel za financije i nabavu</c:v>
                </c:pt>
                <c:pt idx="9">
                  <c:v>Služba za unutarnju reviziju</c:v>
                </c:pt>
                <c:pt idx="10">
                  <c:v>Upravni odjel za obrazovanje, sport i branitelje</c:v>
                </c:pt>
                <c:pt idx="11">
                  <c:v>Upravni odjel za društvene djelatnosti</c:v>
                </c:pt>
                <c:pt idx="12">
                  <c:v>Gradska knjižnica Vukovar</c:v>
                </c:pt>
                <c:pt idx="13">
                  <c:v>Gradski muzej Vukovar</c:v>
                </c:pt>
                <c:pt idx="14">
                  <c:v>Javna ustanova u kulturi - Hrvatski dom</c:v>
                </c:pt>
                <c:pt idx="15">
                  <c:v>Javna ustanova za upravljanje sportskim objektima</c:v>
                </c:pt>
                <c:pt idx="16">
                  <c:v>Dječji vrtić Vukovar 1</c:v>
                </c:pt>
                <c:pt idx="17">
                  <c:v>Dječji vrtić Vukovar 2</c:v>
                </c:pt>
                <c:pt idx="18">
                  <c:v>OŠ Dragutina Tadijanovića</c:v>
                </c:pt>
                <c:pt idx="19">
                  <c:v>OŠ Antuna Bauera</c:v>
                </c:pt>
                <c:pt idx="20">
                  <c:v>OŠ Nikole Andrića</c:v>
                </c:pt>
                <c:pt idx="21">
                  <c:v>OŠ Siniše Glavaševića</c:v>
                </c:pt>
                <c:pt idx="22">
                  <c:v>OŠ Blage Zadre</c:v>
                </c:pt>
                <c:pt idx="23">
                  <c:v>OŠ Mitnica</c:v>
                </c:pt>
                <c:pt idx="24">
                  <c:v>OŠ Josipa Matoša</c:v>
                </c:pt>
              </c:strCache>
            </c:strRef>
          </c:cat>
          <c:val>
            <c:numRef>
              <c:f>'Proračunski korisnici'!$C$2:$C$26</c:f>
              <c:numCache>
                <c:formatCode>#,##0.00</c:formatCode>
                <c:ptCount val="25"/>
                <c:pt idx="0">
                  <c:v>0.20525129791229427</c:v>
                </c:pt>
                <c:pt idx="1">
                  <c:v>2.3791848006185794</c:v>
                </c:pt>
                <c:pt idx="2">
                  <c:v>1.9645929526123935</c:v>
                </c:pt>
                <c:pt idx="3">
                  <c:v>1.8443322655473322</c:v>
                </c:pt>
                <c:pt idx="4">
                  <c:v>30.439507345631284</c:v>
                </c:pt>
                <c:pt idx="5">
                  <c:v>0.38958577267204242</c:v>
                </c:pt>
                <c:pt idx="6">
                  <c:v>4.0362465481056002</c:v>
                </c:pt>
                <c:pt idx="7">
                  <c:v>10.369097536728157</c:v>
                </c:pt>
                <c:pt idx="8">
                  <c:v>0.68248978239257707</c:v>
                </c:pt>
                <c:pt idx="9">
                  <c:v>6.9088699878493309E-2</c:v>
                </c:pt>
                <c:pt idx="10">
                  <c:v>4.5870120402076653</c:v>
                </c:pt>
                <c:pt idx="11">
                  <c:v>4.7819772451121176</c:v>
                </c:pt>
                <c:pt idx="12">
                  <c:v>1.0404992820059649</c:v>
                </c:pt>
                <c:pt idx="13">
                  <c:v>1.5158267977466033</c:v>
                </c:pt>
                <c:pt idx="14">
                  <c:v>0.57535402628962773</c:v>
                </c:pt>
                <c:pt idx="15">
                  <c:v>3.0200927869214627</c:v>
                </c:pt>
                <c:pt idx="16">
                  <c:v>4.5807533414337787</c:v>
                </c:pt>
                <c:pt idx="17">
                  <c:v>1.8682712912846571</c:v>
                </c:pt>
                <c:pt idx="18">
                  <c:v>5.9335623550204355</c:v>
                </c:pt>
                <c:pt idx="19">
                  <c:v>2.4411465812437867</c:v>
                </c:pt>
                <c:pt idx="20">
                  <c:v>2.5611112338451343</c:v>
                </c:pt>
                <c:pt idx="21">
                  <c:v>3.283249751463603</c:v>
                </c:pt>
                <c:pt idx="22">
                  <c:v>2.5320004418424835</c:v>
                </c:pt>
                <c:pt idx="23">
                  <c:v>6.5238860046393459</c:v>
                </c:pt>
                <c:pt idx="24">
                  <c:v>2.3758798188445818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4327165474033E-2"/>
          <c:y val="0.49332954148225822"/>
          <c:w val="0.7337246810605681"/>
          <c:h val="0.49025544109562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najznačajnih rashoda'!$A$3:$A$14</c:f>
              <c:strCache>
                <c:ptCount val="12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Ostalo</c:v>
                </c:pt>
              </c:strCache>
            </c:strRef>
          </c:cat>
          <c:val>
            <c:numRef>
              <c:f>'Struktura najznačajnih rashoda'!$B$3:$B$14</c:f>
              <c:numCache>
                <c:formatCode>#,##0.00</c:formatCode>
                <c:ptCount val="12"/>
                <c:pt idx="0">
                  <c:v>848104</c:v>
                </c:pt>
                <c:pt idx="1">
                  <c:v>3130937</c:v>
                </c:pt>
                <c:pt idx="2">
                  <c:v>1564878</c:v>
                </c:pt>
                <c:pt idx="3">
                  <c:v>585781</c:v>
                </c:pt>
                <c:pt idx="4">
                  <c:v>889273</c:v>
                </c:pt>
                <c:pt idx="5">
                  <c:v>9888523</c:v>
                </c:pt>
                <c:pt idx="6">
                  <c:v>1954646</c:v>
                </c:pt>
                <c:pt idx="7">
                  <c:v>12658885</c:v>
                </c:pt>
                <c:pt idx="8">
                  <c:v>1397461</c:v>
                </c:pt>
                <c:pt idx="9">
                  <c:v>2919151</c:v>
                </c:pt>
                <c:pt idx="10">
                  <c:v>3007500</c:v>
                </c:pt>
                <c:pt idx="11">
                  <c:v>6419861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najznačajnih rashoda'!$A$3:$A$14</c:f>
              <c:strCache>
                <c:ptCount val="12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Ostalo</c:v>
                </c:pt>
              </c:strCache>
            </c:strRef>
          </c:cat>
          <c:val>
            <c:numRef>
              <c:f>'Struktura najznačajnih rashoda'!$C$3:$C$14</c:f>
              <c:numCache>
                <c:formatCode>#,##0.00</c:formatCode>
                <c:ptCount val="12"/>
                <c:pt idx="0">
                  <c:v>1.8736418866674032</c:v>
                </c:pt>
                <c:pt idx="1">
                  <c:v>6.9169048934055013</c:v>
                </c:pt>
                <c:pt idx="2">
                  <c:v>3.4571479067712358</c:v>
                </c:pt>
                <c:pt idx="3">
                  <c:v>1.2941146581243785</c:v>
                </c:pt>
                <c:pt idx="4">
                  <c:v>1.9645929526123935</c:v>
                </c:pt>
                <c:pt idx="5">
                  <c:v>21.845847785264553</c:v>
                </c:pt>
                <c:pt idx="6">
                  <c:v>4.3182282116425501</c:v>
                </c:pt>
                <c:pt idx="7">
                  <c:v>27.966165911852425</c:v>
                </c:pt>
                <c:pt idx="8">
                  <c:v>3.0872881917596375</c:v>
                </c:pt>
                <c:pt idx="9">
                  <c:v>6.4490246327184364</c:v>
                </c:pt>
                <c:pt idx="10">
                  <c:v>6.6442063404396334</c:v>
                </c:pt>
                <c:pt idx="11">
                  <c:v>14.182836628741855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8330-9B1B-4EEC-96BF-959526EE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92</cp:revision>
  <cp:lastPrinted>2019-10-11T09:49:00Z</cp:lastPrinted>
  <dcterms:created xsi:type="dcterms:W3CDTF">2019-10-07T11:55:00Z</dcterms:created>
  <dcterms:modified xsi:type="dcterms:W3CDTF">2022-09-22T11:12:00Z</dcterms:modified>
</cp:coreProperties>
</file>