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rogram/projekt se provodi u 2019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aženih sredstava nije manji od 10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.000,00kn niti veći od 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35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 w:rsidR="00475ED9">
              <w:rPr>
                <w:snapToGrid/>
                <w:sz w:val="22"/>
                <w:szCs w:val="22"/>
                <w:lang w:val="hr-HR" w:eastAsia="hr-HR"/>
              </w:rPr>
              <w:t>izvješća o radu za proteklu 2017</w:t>
            </w:r>
            <w:bookmarkStart w:id="0" w:name="_GoBack"/>
            <w:bookmarkEnd w:id="0"/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2318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 w:rsidR="00872EC4"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Pr="005272F3">
        <w:t xml:space="preserve"> 2018.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 xml:space="preserve">, predsjednik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23685B">
        <w:t xml:space="preserve"> 2019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 xml:space="preserve">_____________, predsjednik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</w:t>
    </w:r>
    <w:r w:rsidR="00D02A4D">
      <w:rPr>
        <w:b/>
        <w:bCs/>
      </w:rPr>
      <w:t>aživanje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civilnog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društva</w:t>
    </w:r>
    <w:proofErr w:type="spellEnd"/>
    <w:r w:rsidR="00D02A4D">
      <w:rPr>
        <w:b/>
        <w:bCs/>
      </w:rPr>
      <w:t xml:space="preserve"> u 2019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336915"/>
    <w:rsid w:val="003E7385"/>
    <w:rsid w:val="00433702"/>
    <w:rsid w:val="004612F6"/>
    <w:rsid w:val="004665F7"/>
    <w:rsid w:val="0047450A"/>
    <w:rsid w:val="00475ED9"/>
    <w:rsid w:val="004B5B40"/>
    <w:rsid w:val="00514AD8"/>
    <w:rsid w:val="00534441"/>
    <w:rsid w:val="00536BFC"/>
    <w:rsid w:val="00580B37"/>
    <w:rsid w:val="005D24F5"/>
    <w:rsid w:val="005F589F"/>
    <w:rsid w:val="00691CA5"/>
    <w:rsid w:val="006A4D1A"/>
    <w:rsid w:val="00740909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A40BDF"/>
    <w:rsid w:val="00AA6068"/>
    <w:rsid w:val="00AB617D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36</cp:revision>
  <dcterms:created xsi:type="dcterms:W3CDTF">2017-12-11T08:20:00Z</dcterms:created>
  <dcterms:modified xsi:type="dcterms:W3CDTF">2018-10-31T11:54:00Z</dcterms:modified>
</cp:coreProperties>
</file>