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41"/>
        <w:tblW w:w="0" w:type="auto"/>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ook w:val="04A0" w:firstRow="1" w:lastRow="0" w:firstColumn="1" w:lastColumn="0" w:noHBand="0" w:noVBand="1"/>
      </w:tblPr>
      <w:tblGrid>
        <w:gridCol w:w="2725"/>
        <w:gridCol w:w="6561"/>
      </w:tblGrid>
      <w:tr w:rsidR="00F947A2" w:rsidRPr="003A242A" w:rsidTr="001F29D1">
        <w:trPr>
          <w:trHeight w:val="416"/>
        </w:trPr>
        <w:tc>
          <w:tcPr>
            <w:tcW w:w="9286" w:type="dxa"/>
            <w:gridSpan w:val="2"/>
            <w:tcBorders>
              <w:top w:val="single" w:sz="18" w:space="0" w:color="auto"/>
              <w:bottom w:val="single" w:sz="2" w:space="0" w:color="auto"/>
            </w:tcBorders>
            <w:shd w:val="clear" w:color="auto" w:fill="8DB3E2"/>
            <w:vAlign w:val="center"/>
          </w:tcPr>
          <w:p w:rsidR="00F947A2" w:rsidRPr="003A242A" w:rsidRDefault="00F947A2" w:rsidP="001F29D1">
            <w:pPr>
              <w:jc w:val="center"/>
              <w:rPr>
                <w:rFonts w:ascii="Arial" w:hAnsi="Arial" w:cs="Arial"/>
                <w:b/>
              </w:rPr>
            </w:pPr>
            <w:bookmarkStart w:id="0" w:name="_GoBack"/>
            <w:bookmarkEnd w:id="0"/>
            <w:r w:rsidRPr="003A242A">
              <w:rPr>
                <w:rFonts w:ascii="Arial" w:hAnsi="Arial" w:cs="Arial"/>
                <w:b/>
              </w:rPr>
              <w:t>IZVJEŠĆE O PROVEDENOM SAVJETOVANJU SA ZAINTERESIRANOM JAVNOŠĆU</w:t>
            </w:r>
          </w:p>
        </w:tc>
      </w:tr>
      <w:tr w:rsidR="00F947A2" w:rsidRPr="000357EC" w:rsidTr="001F29D1">
        <w:trPr>
          <w:trHeight w:val="415"/>
        </w:trPr>
        <w:tc>
          <w:tcPr>
            <w:tcW w:w="9286" w:type="dxa"/>
            <w:gridSpan w:val="2"/>
            <w:tcBorders>
              <w:top w:val="single" w:sz="2" w:space="0" w:color="auto"/>
            </w:tcBorders>
            <w:vAlign w:val="center"/>
          </w:tcPr>
          <w:p w:rsidR="00F947A2" w:rsidRDefault="00F947A2" w:rsidP="001F29D1">
            <w:pPr>
              <w:jc w:val="both"/>
              <w:rPr>
                <w:rFonts w:ascii="Arial" w:hAnsi="Arial" w:cs="Arial"/>
              </w:rPr>
            </w:pPr>
          </w:p>
          <w:p w:rsidR="00F947A2" w:rsidRDefault="00F947A2" w:rsidP="001F29D1">
            <w:pPr>
              <w:jc w:val="both"/>
              <w:rPr>
                <w:rFonts w:ascii="Arial" w:hAnsi="Arial" w:cs="Arial"/>
              </w:rPr>
            </w:pPr>
            <w:r w:rsidRPr="003A242A">
              <w:rPr>
                <w:rFonts w:ascii="Arial" w:hAnsi="Arial" w:cs="Arial"/>
              </w:rPr>
              <w:t xml:space="preserve">Naziv akta o kojem je savjetovanje provedeno: </w:t>
            </w:r>
            <w:r>
              <w:rPr>
                <w:rFonts w:ascii="Arial" w:hAnsi="Arial" w:cs="Arial"/>
              </w:rPr>
              <w:t>Nacrt prijedloga Strategije za djecu grada Vukovara</w:t>
            </w:r>
          </w:p>
          <w:p w:rsidR="00F947A2" w:rsidRDefault="00F947A2" w:rsidP="001F29D1">
            <w:pPr>
              <w:jc w:val="both"/>
              <w:rPr>
                <w:rFonts w:ascii="Arial" w:hAnsi="Arial" w:cs="Arial"/>
                <w:b/>
              </w:rPr>
            </w:pPr>
          </w:p>
          <w:p w:rsidR="00F947A2" w:rsidRDefault="00F947A2" w:rsidP="001F29D1">
            <w:pPr>
              <w:jc w:val="both"/>
              <w:rPr>
                <w:rFonts w:ascii="Arial" w:hAnsi="Arial" w:cs="Arial"/>
                <w:b/>
              </w:rPr>
            </w:pPr>
          </w:p>
          <w:p w:rsidR="00F947A2" w:rsidRPr="000357EC" w:rsidRDefault="00F947A2" w:rsidP="001F29D1">
            <w:pPr>
              <w:jc w:val="both"/>
              <w:rPr>
                <w:rFonts w:ascii="Arial" w:hAnsi="Arial" w:cs="Arial"/>
                <w:b/>
              </w:rPr>
            </w:pPr>
          </w:p>
        </w:tc>
      </w:tr>
      <w:tr w:rsidR="00F947A2" w:rsidRPr="000357EC" w:rsidTr="001F29D1">
        <w:trPr>
          <w:trHeight w:val="845"/>
        </w:trPr>
        <w:tc>
          <w:tcPr>
            <w:tcW w:w="9286" w:type="dxa"/>
            <w:gridSpan w:val="2"/>
            <w:tcBorders>
              <w:bottom w:val="single" w:sz="12" w:space="0" w:color="auto"/>
            </w:tcBorders>
            <w:vAlign w:val="center"/>
          </w:tcPr>
          <w:p w:rsidR="00F947A2" w:rsidRDefault="00F947A2" w:rsidP="001F29D1">
            <w:pPr>
              <w:jc w:val="both"/>
              <w:rPr>
                <w:rFonts w:ascii="Arial" w:hAnsi="Arial" w:cs="Arial"/>
              </w:rPr>
            </w:pPr>
            <w:r w:rsidRPr="003A242A">
              <w:rPr>
                <w:rFonts w:ascii="Arial" w:hAnsi="Arial" w:cs="Arial"/>
              </w:rPr>
              <w:t>Vrijeme trajanja savjetovanja:</w:t>
            </w:r>
            <w:r>
              <w:rPr>
                <w:rFonts w:ascii="Arial" w:hAnsi="Arial" w:cs="Arial"/>
              </w:rPr>
              <w:t>04.07.2016. do 04.08.2016.</w:t>
            </w:r>
          </w:p>
          <w:p w:rsidR="00F947A2" w:rsidRDefault="00F947A2" w:rsidP="001F29D1">
            <w:pPr>
              <w:jc w:val="both"/>
              <w:rPr>
                <w:rFonts w:ascii="Arial" w:hAnsi="Arial" w:cs="Arial"/>
              </w:rPr>
            </w:pPr>
          </w:p>
          <w:p w:rsidR="00F947A2" w:rsidRPr="000357EC" w:rsidRDefault="00F947A2" w:rsidP="001F29D1">
            <w:pPr>
              <w:jc w:val="both"/>
              <w:rPr>
                <w:rFonts w:ascii="Arial" w:hAnsi="Arial" w:cs="Arial"/>
                <w:b/>
                <w:u w:val="single"/>
              </w:rPr>
            </w:pPr>
          </w:p>
        </w:tc>
      </w:tr>
      <w:tr w:rsidR="00F947A2" w:rsidRPr="00E93D26" w:rsidTr="001F29D1">
        <w:trPr>
          <w:trHeight w:val="845"/>
        </w:trPr>
        <w:tc>
          <w:tcPr>
            <w:tcW w:w="2725" w:type="dxa"/>
            <w:tcBorders>
              <w:top w:val="single" w:sz="12" w:space="0" w:color="auto"/>
              <w:bottom w:val="single" w:sz="18" w:space="0" w:color="auto"/>
            </w:tcBorders>
            <w:vAlign w:val="center"/>
          </w:tcPr>
          <w:p w:rsidR="00F947A2" w:rsidRPr="003A242A" w:rsidRDefault="00F947A2" w:rsidP="001F29D1">
            <w:pPr>
              <w:jc w:val="center"/>
              <w:rPr>
                <w:rFonts w:ascii="Arial" w:hAnsi="Arial" w:cs="Arial"/>
              </w:rPr>
            </w:pPr>
            <w:r w:rsidRPr="003A242A">
              <w:rPr>
                <w:rFonts w:ascii="Arial" w:hAnsi="Arial" w:cs="Arial"/>
              </w:rPr>
              <w:t>Cilj i glavne teme savjetovanja</w:t>
            </w:r>
          </w:p>
        </w:tc>
        <w:tc>
          <w:tcPr>
            <w:tcW w:w="6561" w:type="dxa"/>
            <w:tcBorders>
              <w:top w:val="single" w:sz="12" w:space="0" w:color="auto"/>
              <w:bottom w:val="single" w:sz="18" w:space="0" w:color="auto"/>
            </w:tcBorders>
            <w:vAlign w:val="center"/>
          </w:tcPr>
          <w:p w:rsidR="00F947A2" w:rsidRDefault="00F947A2" w:rsidP="001F29D1">
            <w:pPr>
              <w:jc w:val="both"/>
            </w:pPr>
          </w:p>
          <w:p w:rsidR="00F947A2" w:rsidRDefault="00F947A2" w:rsidP="001F29D1">
            <w:pPr>
              <w:jc w:val="both"/>
            </w:pPr>
            <w:r>
              <w:t>Cilj provedenog savjetovanja je upoznati te predstaviti Nacrt prijedloga Strategije za djecu grada Vukovara. Kroz savjetovanje dobiti eventualne prijedloge, primjedbe i konstruktivne kritike od zainteresirane javnosti-građana/građanki grada Vukovara</w:t>
            </w:r>
          </w:p>
          <w:p w:rsidR="00F947A2" w:rsidRPr="00E93D26" w:rsidRDefault="00F947A2" w:rsidP="001F29D1">
            <w:pPr>
              <w:jc w:val="both"/>
            </w:pPr>
          </w:p>
        </w:tc>
      </w:tr>
    </w:tbl>
    <w:p w:rsidR="00F947A2" w:rsidRDefault="00F947A2" w:rsidP="00F947A2"/>
    <w:p w:rsidR="00F947A2" w:rsidRDefault="00F947A2" w:rsidP="00F947A2"/>
    <w:tbl>
      <w:tblPr>
        <w:tblW w:w="10682" w:type="dxa"/>
        <w:tblInd w:w="-74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908"/>
        <w:gridCol w:w="1610"/>
        <w:gridCol w:w="1276"/>
        <w:gridCol w:w="4287"/>
        <w:gridCol w:w="2601"/>
      </w:tblGrid>
      <w:tr w:rsidR="00F947A2" w:rsidRPr="00554B1A" w:rsidTr="00D04547">
        <w:trPr>
          <w:trHeight w:val="1494"/>
        </w:trPr>
        <w:tc>
          <w:tcPr>
            <w:tcW w:w="908" w:type="dxa"/>
            <w:vAlign w:val="center"/>
          </w:tcPr>
          <w:p w:rsidR="00F947A2" w:rsidRPr="00DA3809" w:rsidRDefault="00F947A2" w:rsidP="00DD3449">
            <w:pPr>
              <w:jc w:val="center"/>
              <w:rPr>
                <w:rFonts w:ascii="Arial" w:hAnsi="Arial" w:cs="Arial"/>
              </w:rPr>
            </w:pPr>
            <w:r w:rsidRPr="00DA3809">
              <w:rPr>
                <w:rFonts w:ascii="Arial" w:hAnsi="Arial" w:cs="Arial"/>
              </w:rPr>
              <w:t>Redni broj</w:t>
            </w:r>
          </w:p>
        </w:tc>
        <w:tc>
          <w:tcPr>
            <w:tcW w:w="1610" w:type="dxa"/>
            <w:vAlign w:val="center"/>
          </w:tcPr>
          <w:p w:rsidR="00F947A2" w:rsidRPr="00DA3809" w:rsidRDefault="00F947A2" w:rsidP="00DD3449">
            <w:pPr>
              <w:jc w:val="center"/>
              <w:rPr>
                <w:rFonts w:ascii="Arial" w:hAnsi="Arial" w:cs="Arial"/>
              </w:rPr>
            </w:pPr>
            <w:r w:rsidRPr="00DA3809">
              <w:rPr>
                <w:rFonts w:ascii="Arial" w:hAnsi="Arial" w:cs="Arial"/>
              </w:rPr>
              <w:t>Naziv dionika (pojedinac, organizacija, institucija)</w:t>
            </w:r>
          </w:p>
        </w:tc>
        <w:tc>
          <w:tcPr>
            <w:tcW w:w="1276" w:type="dxa"/>
            <w:vAlign w:val="center"/>
          </w:tcPr>
          <w:p w:rsidR="00F947A2" w:rsidRPr="00DA3809" w:rsidRDefault="00F947A2" w:rsidP="00DD3449">
            <w:pPr>
              <w:jc w:val="center"/>
              <w:rPr>
                <w:rFonts w:ascii="Arial" w:hAnsi="Arial" w:cs="Arial"/>
              </w:rPr>
            </w:pPr>
            <w:r w:rsidRPr="00DA3809">
              <w:rPr>
                <w:rFonts w:ascii="Arial" w:hAnsi="Arial" w:cs="Arial"/>
              </w:rPr>
              <w:t>Članak na koji se odnosi primjedba/</w:t>
            </w:r>
          </w:p>
          <w:p w:rsidR="00F947A2" w:rsidRPr="00DA3809" w:rsidRDefault="00F947A2" w:rsidP="00DD3449">
            <w:pPr>
              <w:jc w:val="center"/>
              <w:rPr>
                <w:rFonts w:ascii="Arial" w:hAnsi="Arial" w:cs="Arial"/>
              </w:rPr>
            </w:pPr>
            <w:r w:rsidRPr="00DA3809">
              <w:rPr>
                <w:rFonts w:ascii="Arial" w:hAnsi="Arial" w:cs="Arial"/>
              </w:rPr>
              <w:t>prijedlog</w:t>
            </w:r>
          </w:p>
        </w:tc>
        <w:tc>
          <w:tcPr>
            <w:tcW w:w="4287" w:type="dxa"/>
            <w:vAlign w:val="center"/>
          </w:tcPr>
          <w:p w:rsidR="00F947A2" w:rsidRPr="00DA3809" w:rsidRDefault="00F947A2" w:rsidP="00DD3449">
            <w:pPr>
              <w:jc w:val="center"/>
              <w:rPr>
                <w:rFonts w:ascii="Arial" w:hAnsi="Arial" w:cs="Arial"/>
              </w:rPr>
            </w:pPr>
            <w:r w:rsidRPr="00DA3809">
              <w:rPr>
                <w:rFonts w:ascii="Arial" w:hAnsi="Arial" w:cs="Arial"/>
              </w:rPr>
              <w:t>Tekst primjedbe/prijedloga</w:t>
            </w:r>
          </w:p>
        </w:tc>
        <w:tc>
          <w:tcPr>
            <w:tcW w:w="2601" w:type="dxa"/>
            <w:vAlign w:val="center"/>
          </w:tcPr>
          <w:p w:rsidR="00F947A2" w:rsidRPr="00DA3809" w:rsidRDefault="00F947A2" w:rsidP="00DD3449">
            <w:pPr>
              <w:jc w:val="center"/>
              <w:rPr>
                <w:rFonts w:ascii="Arial" w:hAnsi="Arial" w:cs="Arial"/>
              </w:rPr>
            </w:pPr>
            <w:r w:rsidRPr="00DA3809">
              <w:rPr>
                <w:rFonts w:ascii="Arial" w:hAnsi="Arial" w:cs="Arial"/>
              </w:rPr>
              <w:t>Prihvaćanje/ neprihvaćanje primjedbe ili prijedloga</w:t>
            </w:r>
            <w:r>
              <w:rPr>
                <w:rFonts w:ascii="Arial" w:hAnsi="Arial" w:cs="Arial"/>
              </w:rPr>
              <w:t xml:space="preserve"> sa obrazloženjem</w:t>
            </w:r>
          </w:p>
        </w:tc>
      </w:tr>
      <w:tr w:rsidR="00F947A2" w:rsidRPr="0030367A" w:rsidTr="00D04547">
        <w:tc>
          <w:tcPr>
            <w:tcW w:w="908" w:type="dxa"/>
          </w:tcPr>
          <w:p w:rsidR="00F947A2" w:rsidRPr="006C02CD" w:rsidRDefault="00F947A2" w:rsidP="008F78BF">
            <w:pPr>
              <w:jc w:val="center"/>
              <w:rPr>
                <w:rFonts w:ascii="Arial" w:hAnsi="Arial" w:cs="Arial"/>
                <w:i/>
              </w:rPr>
            </w:pPr>
            <w:r>
              <w:rPr>
                <w:rFonts w:ascii="Arial" w:hAnsi="Arial" w:cs="Arial"/>
                <w:i/>
              </w:rPr>
              <w:t>1.</w:t>
            </w:r>
            <w:r w:rsidR="008F78BF" w:rsidRPr="006C02CD">
              <w:rPr>
                <w:rFonts w:ascii="Arial" w:hAnsi="Arial" w:cs="Arial"/>
                <w:i/>
              </w:rPr>
              <w:t xml:space="preserve"> </w:t>
            </w:r>
          </w:p>
        </w:tc>
        <w:tc>
          <w:tcPr>
            <w:tcW w:w="1610" w:type="dxa"/>
          </w:tcPr>
          <w:p w:rsidR="00F947A2" w:rsidRPr="006C02CD" w:rsidRDefault="00F947A2" w:rsidP="00DD3449">
            <w:pPr>
              <w:jc w:val="center"/>
              <w:rPr>
                <w:rFonts w:ascii="Arial" w:hAnsi="Arial" w:cs="Arial"/>
                <w:i/>
              </w:rPr>
            </w:pPr>
            <w:r>
              <w:rPr>
                <w:rFonts w:ascii="Arial" w:hAnsi="Arial" w:cs="Arial"/>
                <w:i/>
              </w:rPr>
              <w:t>Biljana Gaća</w:t>
            </w:r>
          </w:p>
        </w:tc>
        <w:tc>
          <w:tcPr>
            <w:tcW w:w="1276" w:type="dxa"/>
          </w:tcPr>
          <w:p w:rsidR="00F947A2" w:rsidRDefault="00EA76CD" w:rsidP="00DD3449">
            <w:pPr>
              <w:jc w:val="center"/>
              <w:rPr>
                <w:rFonts w:ascii="Arial" w:hAnsi="Arial" w:cs="Arial"/>
                <w:i/>
              </w:rPr>
            </w:pPr>
            <w:r>
              <w:rPr>
                <w:rFonts w:ascii="Arial" w:hAnsi="Arial" w:cs="Arial"/>
                <w:i/>
              </w:rPr>
              <w:t>Točka</w:t>
            </w:r>
            <w:r w:rsidR="00F947A2">
              <w:rPr>
                <w:rFonts w:ascii="Arial" w:hAnsi="Arial" w:cs="Arial"/>
                <w:i/>
              </w:rPr>
              <w:t xml:space="preserve"> 6. Zaštita od nasilja izvan obitelji i škole</w:t>
            </w:r>
          </w:p>
          <w:p w:rsidR="00EA76CD" w:rsidRPr="006C02CD" w:rsidRDefault="00EA76CD" w:rsidP="00DD3449">
            <w:pPr>
              <w:jc w:val="center"/>
              <w:rPr>
                <w:rFonts w:ascii="Arial" w:hAnsi="Arial" w:cs="Arial"/>
                <w:i/>
              </w:rPr>
            </w:pPr>
          </w:p>
        </w:tc>
        <w:tc>
          <w:tcPr>
            <w:tcW w:w="4287" w:type="dxa"/>
          </w:tcPr>
          <w:p w:rsidR="00F947A2" w:rsidRPr="00D04547" w:rsidRDefault="00F947A2" w:rsidP="00F947A2">
            <w:pPr>
              <w:rPr>
                <w:sz w:val="22"/>
                <w:szCs w:val="22"/>
              </w:rPr>
            </w:pPr>
            <w:r w:rsidRPr="00D04547">
              <w:rPr>
                <w:sz w:val="22"/>
                <w:szCs w:val="22"/>
              </w:rPr>
              <w:t>Poglavlje pod brojem 6. Zaštita od nasilja izvan obitelji i škole, u medijskom prostoru te od elektroničkog nasilja – nije navedeno u kazalu na početku – pod tim poglavljem pojavljuje se još jedan svježe detektiran problem od strane stručnih službi sudova, ali još uvijek neriješen, a radi se o boravku djece u trenucima kad jedan od roditelja (najčešće majka) odlazi na hitno ispitivanje i davanje izjava nakon prijave nasilja u obitelji. Često puta djeca koja se tako zateknu na sudu neformalno i nesluženo borave s neki od službenika/ca u sudovima, mimo zakona i propisa, jer djeca nisu stranke u postupku i na sudu ne bi trebali boraviti, ali roditelj najčešće nema gdje s njima. Jasno mi je da je prevencija nešto što je ključno i čime se ova Strategija posebno bavi, no ovo pitanje je pomalo kao rupa u sustavu, a radi se o vrlo ranjivoj skupini – djeci koja dolaze iz, nažalost, obitelji u kojima se odvij</w:t>
            </w:r>
            <w:r w:rsidR="00D04547" w:rsidRPr="00D04547">
              <w:rPr>
                <w:sz w:val="22"/>
                <w:szCs w:val="22"/>
              </w:rPr>
              <w:t xml:space="preserve">a nasilje. Ne znam je li moguće </w:t>
            </w:r>
            <w:r w:rsidRPr="00D04547">
              <w:rPr>
                <w:sz w:val="22"/>
                <w:szCs w:val="22"/>
              </w:rPr>
              <w:t>takvo što previdjeti ovom Strategijom, ali sam barem ovdje navela taj problem, o kojem sam dobila informaciju upravo od nekih službenika/ca sa sudova.</w:t>
            </w:r>
          </w:p>
          <w:p w:rsidR="008F78BF" w:rsidRPr="006C02CD" w:rsidRDefault="008F78BF" w:rsidP="008F78BF">
            <w:pPr>
              <w:jc w:val="center"/>
              <w:rPr>
                <w:rFonts w:ascii="Arial" w:hAnsi="Arial" w:cs="Arial"/>
                <w:i/>
              </w:rPr>
            </w:pPr>
          </w:p>
        </w:tc>
        <w:tc>
          <w:tcPr>
            <w:tcW w:w="2601" w:type="dxa"/>
          </w:tcPr>
          <w:p w:rsidR="00F947A2" w:rsidRPr="006C02CD" w:rsidRDefault="00F947A2" w:rsidP="00DD3449">
            <w:pPr>
              <w:jc w:val="center"/>
              <w:rPr>
                <w:rFonts w:ascii="Arial" w:hAnsi="Arial" w:cs="Arial"/>
                <w:i/>
              </w:rPr>
            </w:pPr>
          </w:p>
          <w:p w:rsidR="00F947A2" w:rsidRPr="006C02CD" w:rsidRDefault="00F947A2" w:rsidP="00DD3449">
            <w:pPr>
              <w:jc w:val="center"/>
              <w:rPr>
                <w:rFonts w:ascii="Arial" w:hAnsi="Arial" w:cs="Arial"/>
                <w:i/>
              </w:rPr>
            </w:pPr>
          </w:p>
          <w:p w:rsidR="003B0EF8" w:rsidRDefault="00EA76CD" w:rsidP="003B0EF8">
            <w:pPr>
              <w:jc w:val="center"/>
              <w:rPr>
                <w:rFonts w:ascii="Arial" w:hAnsi="Arial" w:cs="Arial"/>
                <w:i/>
              </w:rPr>
            </w:pPr>
            <w:r>
              <w:rPr>
                <w:rFonts w:ascii="Arial" w:hAnsi="Arial" w:cs="Arial"/>
                <w:i/>
              </w:rPr>
              <w:t>Prijedlog nije prihvaćen</w:t>
            </w:r>
          </w:p>
          <w:p w:rsidR="003B0EF8" w:rsidRDefault="003B0EF8" w:rsidP="003B0EF8">
            <w:pPr>
              <w:jc w:val="center"/>
              <w:rPr>
                <w:rFonts w:ascii="Arial" w:hAnsi="Arial" w:cs="Arial"/>
                <w:i/>
              </w:rPr>
            </w:pPr>
          </w:p>
          <w:p w:rsidR="002A24CF" w:rsidRPr="00D04547" w:rsidRDefault="003B0EF8" w:rsidP="003B0EF8">
            <w:pPr>
              <w:rPr>
                <w:i/>
                <w:sz w:val="22"/>
                <w:szCs w:val="22"/>
              </w:rPr>
            </w:pPr>
            <w:r w:rsidRPr="00D04547">
              <w:rPr>
                <w:sz w:val="22"/>
                <w:szCs w:val="22"/>
              </w:rPr>
              <w:t xml:space="preserve">Vezano za Vaš primjedbu koja se </w:t>
            </w:r>
            <w:r w:rsidR="00E94436">
              <w:rPr>
                <w:sz w:val="22"/>
                <w:szCs w:val="22"/>
              </w:rPr>
              <w:t xml:space="preserve">odnosi na problem </w:t>
            </w:r>
            <w:r w:rsidR="002A24CF" w:rsidRPr="00D04547">
              <w:rPr>
                <w:sz w:val="22"/>
                <w:szCs w:val="22"/>
              </w:rPr>
              <w:t xml:space="preserve"> stručnih službi sudova, za navedeno kontaktirali smo nadležni sud u Vukovaru te vam prenosimo dio odgovora koji smo dobili</w:t>
            </w:r>
          </w:p>
          <w:p w:rsidR="003B0EF8" w:rsidRPr="00D04547" w:rsidRDefault="002A24CF" w:rsidP="003B0EF8">
            <w:pPr>
              <w:rPr>
                <w:sz w:val="22"/>
                <w:szCs w:val="22"/>
              </w:rPr>
            </w:pPr>
            <w:r w:rsidRPr="00D04547">
              <w:rPr>
                <w:sz w:val="22"/>
                <w:szCs w:val="22"/>
              </w:rPr>
              <w:t>„</w:t>
            </w:r>
            <w:r w:rsidR="003B0EF8" w:rsidRPr="00D04547">
              <w:rPr>
                <w:sz w:val="22"/>
                <w:szCs w:val="22"/>
              </w:rPr>
              <w:t>S  obzirom  da  se  vaše  pitanje  odnosi  na postupanje  s djetetom  koje  dolazi  u pratnji roditelja na prekršajni sud, a nije žrtva/oštećenik,  isto nije regulirano  Zakonom o kaznenom  postupku  ili  Sudskim  poslovnikom,  upućujemo  vas  na odredbe  Direktive</w:t>
            </w:r>
          </w:p>
          <w:p w:rsidR="003B0EF8" w:rsidRPr="00D04547" w:rsidRDefault="003B0EF8" w:rsidP="003B0EF8">
            <w:pPr>
              <w:rPr>
                <w:sz w:val="22"/>
                <w:szCs w:val="22"/>
              </w:rPr>
            </w:pPr>
            <w:r w:rsidRPr="00D04547">
              <w:rPr>
                <w:sz w:val="22"/>
                <w:szCs w:val="22"/>
              </w:rPr>
              <w:t>2012/29/EU   Europskog   Parlamenta   i  Vijeća   od  25.   listopada   2012.   o  uspostavi</w:t>
            </w:r>
          </w:p>
          <w:p w:rsidR="00D96E12" w:rsidRPr="00D04547" w:rsidRDefault="003B0EF8" w:rsidP="003B0EF8">
            <w:pPr>
              <w:rPr>
                <w:sz w:val="22"/>
                <w:szCs w:val="22"/>
              </w:rPr>
            </w:pPr>
            <w:r w:rsidRPr="00D04547">
              <w:rPr>
                <w:sz w:val="22"/>
                <w:szCs w:val="22"/>
              </w:rPr>
              <w:t xml:space="preserve">minimalnih  standarda  za </w:t>
            </w:r>
            <w:r w:rsidRPr="00D04547">
              <w:rPr>
                <w:sz w:val="22"/>
                <w:szCs w:val="22"/>
              </w:rPr>
              <w:lastRenderedPageBreak/>
              <w:t>prava, potporu i zaštitu žrtava kaznenih  djela   (dalje u tekstu: Direktiva).  Naime, Direktiva  predstavlja sveobuhvatni  instrument  kojim se na sustavan način nastoje  urediti i zaštititi  prava i interesi žrtava kaznenih djela, te članova  njihove obitelji.</w:t>
            </w:r>
          </w:p>
          <w:p w:rsidR="00EA76CD" w:rsidRPr="00D04547" w:rsidRDefault="00D04547" w:rsidP="00D96E12">
            <w:pPr>
              <w:rPr>
                <w:sz w:val="22"/>
                <w:szCs w:val="22"/>
              </w:rPr>
            </w:pPr>
            <w:r w:rsidRPr="00D04547">
              <w:rPr>
                <w:sz w:val="22"/>
                <w:szCs w:val="22"/>
              </w:rPr>
              <w:t>Članak  8. Direktive  propisuje  da je država  članica  dužna  osigurati  žrtvama,  u skladu s njihovim potrebama, besplatan pristup povjerljivim službama za podršku koje djeluju u interesu  žrtava prije, tijekom i određeno razdoblje  nakon kaznenog  postupka.</w:t>
            </w:r>
          </w:p>
          <w:p w:rsidR="00D04547" w:rsidRPr="00D04547" w:rsidRDefault="00D04547" w:rsidP="00D04547">
            <w:pPr>
              <w:rPr>
                <w:sz w:val="22"/>
                <w:szCs w:val="22"/>
              </w:rPr>
            </w:pPr>
            <w:r w:rsidRPr="00D04547">
              <w:rPr>
                <w:sz w:val="22"/>
                <w:szCs w:val="22"/>
              </w:rPr>
              <w:t>Članovi  obitelji  žrtve  također  bi trebali  imati  pristup  službama  za podršku  žrtvama  u skladu sa svojim potrebama  i stupnjem štete pretrpljene  kao posljedice  kaznenog djela. Također,  države članice trebale bi olakšavati upućivanje žrtava od nadležnog tijela koje je zaprimilo  prijavu i drugih odgovarajućih  tijela službama za podršku.</w:t>
            </w:r>
            <w:r>
              <w:t xml:space="preserve"> </w:t>
            </w:r>
            <w:r w:rsidRPr="00D04547">
              <w:rPr>
                <w:sz w:val="22"/>
                <w:szCs w:val="22"/>
              </w:rPr>
              <w:t>Direktiva nalaže poduzimanje  mjera   za  uspostavu   besplatnih   povjerljivih   specijalističkih   službi   za podršku  pored, ili kao jedan dio, općih službi za potporu žrtvama  ili za omogućavanje obraćanja   postojećim   specijaliziranim   tijelima  koje  pružaju  specijalističku   potporu.</w:t>
            </w:r>
          </w:p>
          <w:p w:rsidR="00D04547" w:rsidRPr="00D04547" w:rsidRDefault="00D04547" w:rsidP="00D04547">
            <w:pPr>
              <w:rPr>
                <w:sz w:val="22"/>
                <w:szCs w:val="22"/>
              </w:rPr>
            </w:pPr>
            <w:r w:rsidRPr="00D04547">
              <w:rPr>
                <w:sz w:val="22"/>
                <w:szCs w:val="22"/>
              </w:rPr>
              <w:t>Žrtve, u  skladu  sa  svojim  posebnim  potrebama,  imaju  pristup  takvim  službama,  a</w:t>
            </w:r>
          </w:p>
          <w:p w:rsidR="00EA76CD" w:rsidRPr="00D04547" w:rsidRDefault="00D04547" w:rsidP="00D04547">
            <w:pPr>
              <w:rPr>
                <w:sz w:val="22"/>
                <w:szCs w:val="22"/>
              </w:rPr>
            </w:pPr>
            <w:r w:rsidRPr="00D04547">
              <w:rPr>
                <w:sz w:val="22"/>
                <w:szCs w:val="22"/>
              </w:rPr>
              <w:t xml:space="preserve">članovi obitelji  bi trebali imati pristup službama za podršku žrtvama u skladu </w:t>
            </w:r>
            <w:r w:rsidRPr="00D04547">
              <w:rPr>
                <w:sz w:val="22"/>
                <w:szCs w:val="22"/>
              </w:rPr>
              <w:lastRenderedPageBreak/>
              <w:t>sa svojim potrebama  i stupnjem  štete pretrpljene  kao posljedica  kaznenog  djela koje je počinjeno prema  žrtvi.  Preporuka  je  da  se  službe  za  potporu  mogu  uspostaviti  kao  javne  ili nevladine  organizacije  i mogu se organizirati  na profesionalnoj  ili dobrovoljnoj  bazi. Pristup službama  za podršku ne bi trebao biti uvjetovan formalnim podnošenjem  prijave kaznenog djela nadležnom tijelu.</w:t>
            </w:r>
          </w:p>
          <w:p w:rsidR="00D04547" w:rsidRPr="00D04547" w:rsidRDefault="00D04547" w:rsidP="00D04547">
            <w:pPr>
              <w:rPr>
                <w:sz w:val="22"/>
                <w:szCs w:val="22"/>
              </w:rPr>
            </w:pPr>
            <w:r w:rsidRPr="00D04547">
              <w:rPr>
                <w:sz w:val="22"/>
                <w:szCs w:val="22"/>
              </w:rPr>
              <w:t>S obzirom  na sve naprijed navedeno, možemo zaključiti  kako djeca koja dolaze</w:t>
            </w:r>
          </w:p>
          <w:p w:rsidR="00D04547" w:rsidRPr="00D04547" w:rsidRDefault="00D04547" w:rsidP="00D04547">
            <w:pPr>
              <w:rPr>
                <w:sz w:val="22"/>
                <w:szCs w:val="22"/>
              </w:rPr>
            </w:pPr>
            <w:r w:rsidRPr="00D04547">
              <w:rPr>
                <w:sz w:val="22"/>
                <w:szCs w:val="22"/>
              </w:rPr>
              <w:t>u pratnji  roditelja  na prekršajni  sud ne borave,  kako se u vašem  upitu navodi  "mimo zakona  i propisa,  s nekim  od službenika  suda",  već borave  u prostorijama Odjela  za podršku  žrtvama  i svjedocima,  te im se kao članovima  obitelji  ili osobama  u pratnji</w:t>
            </w:r>
          </w:p>
          <w:p w:rsidR="00D04547" w:rsidRDefault="00D04547" w:rsidP="00D04547">
            <w:pPr>
              <w:rPr>
                <w:sz w:val="22"/>
                <w:szCs w:val="22"/>
              </w:rPr>
            </w:pPr>
            <w:r w:rsidRPr="00D04547">
              <w:rPr>
                <w:sz w:val="22"/>
                <w:szCs w:val="22"/>
              </w:rPr>
              <w:t>žrtve pruža potrebna podrška.</w:t>
            </w:r>
          </w:p>
          <w:p w:rsidR="00A970B4" w:rsidRPr="00A970B4" w:rsidRDefault="00A970B4" w:rsidP="00A970B4">
            <w:pPr>
              <w:rPr>
                <w:sz w:val="22"/>
                <w:szCs w:val="22"/>
              </w:rPr>
            </w:pPr>
            <w:r w:rsidRPr="00A970B4">
              <w:rPr>
                <w:sz w:val="22"/>
                <w:szCs w:val="22"/>
              </w:rPr>
              <w:t>Također  napominjemo,  da u normativnom  smislu,  pružanje  podrške  djeci kako</w:t>
            </w:r>
          </w:p>
          <w:p w:rsidR="00A970B4" w:rsidRPr="00D04547" w:rsidRDefault="00A970B4" w:rsidP="00A970B4">
            <w:pPr>
              <w:rPr>
                <w:sz w:val="22"/>
                <w:szCs w:val="22"/>
              </w:rPr>
            </w:pPr>
            <w:r w:rsidRPr="00A970B4">
              <w:rPr>
                <w:sz w:val="22"/>
                <w:szCs w:val="22"/>
              </w:rPr>
              <w:t>žrtvama  kaznenih  djela  tako  i osobama  u pratnji  žrtava  kaznenih  djela  nije  moguće regulirati  kroz Strategije  za djecu grada Vukovara u okviru projekta "Organizacije  koje brinu".</w:t>
            </w:r>
          </w:p>
          <w:p w:rsidR="00EA76CD" w:rsidRPr="006C02CD" w:rsidRDefault="00EA76CD" w:rsidP="008F78BF">
            <w:pPr>
              <w:jc w:val="center"/>
              <w:rPr>
                <w:rFonts w:ascii="Arial" w:hAnsi="Arial" w:cs="Arial"/>
                <w:i/>
              </w:rPr>
            </w:pPr>
          </w:p>
        </w:tc>
      </w:tr>
      <w:tr w:rsidR="008F78BF" w:rsidRPr="0030367A" w:rsidTr="00D04547">
        <w:tc>
          <w:tcPr>
            <w:tcW w:w="908" w:type="dxa"/>
          </w:tcPr>
          <w:p w:rsidR="008F78BF" w:rsidRPr="006C02CD" w:rsidRDefault="008F78BF" w:rsidP="00DD3449">
            <w:pPr>
              <w:jc w:val="center"/>
              <w:rPr>
                <w:rFonts w:ascii="Arial" w:hAnsi="Arial" w:cs="Arial"/>
                <w:i/>
              </w:rPr>
            </w:pPr>
            <w:r>
              <w:rPr>
                <w:rFonts w:ascii="Arial" w:hAnsi="Arial" w:cs="Arial"/>
                <w:i/>
              </w:rPr>
              <w:lastRenderedPageBreak/>
              <w:t>2.</w:t>
            </w:r>
          </w:p>
        </w:tc>
        <w:tc>
          <w:tcPr>
            <w:tcW w:w="1610" w:type="dxa"/>
          </w:tcPr>
          <w:p w:rsidR="008F78BF" w:rsidRPr="006C02CD" w:rsidRDefault="008F78BF" w:rsidP="00DD3449">
            <w:pPr>
              <w:jc w:val="center"/>
              <w:rPr>
                <w:rFonts w:ascii="Arial" w:hAnsi="Arial" w:cs="Arial"/>
                <w:i/>
              </w:rPr>
            </w:pPr>
            <w:r>
              <w:rPr>
                <w:rFonts w:ascii="Arial" w:hAnsi="Arial" w:cs="Arial"/>
                <w:i/>
              </w:rPr>
              <w:t>Biljana Gaća</w:t>
            </w:r>
          </w:p>
        </w:tc>
        <w:tc>
          <w:tcPr>
            <w:tcW w:w="1276" w:type="dxa"/>
          </w:tcPr>
          <w:p w:rsidR="008F78BF" w:rsidRPr="006C02CD" w:rsidRDefault="008F78BF" w:rsidP="00DD3449">
            <w:pPr>
              <w:jc w:val="center"/>
              <w:rPr>
                <w:rFonts w:ascii="Arial" w:hAnsi="Arial" w:cs="Arial"/>
                <w:i/>
              </w:rPr>
            </w:pPr>
            <w:r>
              <w:rPr>
                <w:rFonts w:ascii="Arial" w:hAnsi="Arial" w:cs="Arial"/>
                <w:i/>
              </w:rPr>
              <w:t>Poglavlje Sustav obrazovanja aktivnost 3.4</w:t>
            </w:r>
          </w:p>
        </w:tc>
        <w:tc>
          <w:tcPr>
            <w:tcW w:w="4287" w:type="dxa"/>
          </w:tcPr>
          <w:p w:rsidR="008F78BF" w:rsidRPr="00EA76CD" w:rsidRDefault="008F78BF" w:rsidP="008F78BF">
            <w:r w:rsidRPr="00EA76CD">
              <w:t xml:space="preserve">Pod poglavljem SUSTAV OBRAZOVANJA, aktivnost 3.4. </w:t>
            </w:r>
            <w:r w:rsidRPr="00EA76CD">
              <w:rPr>
                <w:rFonts w:asciiTheme="minorHAnsi" w:eastAsiaTheme="minorHAnsi" w:hAnsiTheme="minorHAnsi" w:cstheme="minorBidi"/>
                <w:sz w:val="22"/>
                <w:szCs w:val="22"/>
                <w:lang w:eastAsia="en-US"/>
              </w:rPr>
              <w:t xml:space="preserve"> </w:t>
            </w:r>
            <w:r w:rsidRPr="00EA76CD">
              <w:t xml:space="preserve">Usklađivanje obrazovnih programa prema potrebama i interesima djece i mladih - smatram da nije dovoljno opisana ta aktivnost te da iz napisanog nije razvidno na koji način, kojim metodama će se usklađivati obrazovni programi prema </w:t>
            </w:r>
            <w:r w:rsidRPr="00EA76CD">
              <w:lastRenderedPageBreak/>
              <w:t>potrebama i interesima djece i mladih (smatram da je sam broj usklađenih obrazovnih programa teško mjerljiv i nedovoljan). Hoće li se to usklađivanje provoditi tako da se prvo sustavno ispituju potrebe i interesi djece i mladih ili na koji način?</w:t>
            </w:r>
          </w:p>
          <w:p w:rsidR="008F78BF" w:rsidRPr="00D04547" w:rsidRDefault="008F78BF" w:rsidP="00F947A2">
            <w:pPr>
              <w:rPr>
                <w:sz w:val="22"/>
                <w:szCs w:val="22"/>
              </w:rPr>
            </w:pPr>
          </w:p>
        </w:tc>
        <w:tc>
          <w:tcPr>
            <w:tcW w:w="2601" w:type="dxa"/>
          </w:tcPr>
          <w:p w:rsidR="008F78BF" w:rsidRDefault="008F78BF" w:rsidP="008F78BF">
            <w:pPr>
              <w:jc w:val="center"/>
              <w:rPr>
                <w:rFonts w:ascii="Arial" w:hAnsi="Arial" w:cs="Arial"/>
              </w:rPr>
            </w:pPr>
            <w:r>
              <w:rPr>
                <w:rFonts w:ascii="Arial" w:hAnsi="Arial" w:cs="Arial"/>
              </w:rPr>
              <w:lastRenderedPageBreak/>
              <w:t>Prijedlog je prihvaćen.</w:t>
            </w:r>
          </w:p>
          <w:p w:rsidR="008F78BF" w:rsidRPr="006C02CD" w:rsidRDefault="008F78BF" w:rsidP="008F78BF">
            <w:pPr>
              <w:jc w:val="center"/>
              <w:rPr>
                <w:rFonts w:ascii="Arial" w:hAnsi="Arial" w:cs="Arial"/>
                <w:i/>
              </w:rPr>
            </w:pPr>
            <w:r>
              <w:rPr>
                <w:rFonts w:ascii="Arial" w:hAnsi="Arial" w:cs="Arial"/>
              </w:rPr>
              <w:t>Navedena aktivnost je dodatno objašnjena (navedene su metode istraživanja) te su dodani mjerljivi indikatotori</w:t>
            </w:r>
          </w:p>
        </w:tc>
      </w:tr>
      <w:tr w:rsidR="008F78BF" w:rsidRPr="0030367A" w:rsidTr="00D04547">
        <w:tc>
          <w:tcPr>
            <w:tcW w:w="908" w:type="dxa"/>
          </w:tcPr>
          <w:p w:rsidR="008F78BF" w:rsidRPr="006C02CD" w:rsidRDefault="008F78BF" w:rsidP="00DD3449">
            <w:pPr>
              <w:jc w:val="center"/>
              <w:rPr>
                <w:rFonts w:ascii="Arial" w:hAnsi="Arial" w:cs="Arial"/>
                <w:i/>
              </w:rPr>
            </w:pPr>
            <w:r>
              <w:rPr>
                <w:rFonts w:ascii="Arial" w:hAnsi="Arial" w:cs="Arial"/>
                <w:i/>
              </w:rPr>
              <w:lastRenderedPageBreak/>
              <w:t>3.</w:t>
            </w:r>
          </w:p>
        </w:tc>
        <w:tc>
          <w:tcPr>
            <w:tcW w:w="1610" w:type="dxa"/>
          </w:tcPr>
          <w:p w:rsidR="008F78BF" w:rsidRPr="006C02CD" w:rsidRDefault="008F78BF" w:rsidP="00DD3449">
            <w:pPr>
              <w:jc w:val="center"/>
              <w:rPr>
                <w:rFonts w:ascii="Arial" w:hAnsi="Arial" w:cs="Arial"/>
                <w:i/>
              </w:rPr>
            </w:pPr>
            <w:r>
              <w:rPr>
                <w:rFonts w:ascii="Arial" w:hAnsi="Arial" w:cs="Arial"/>
                <w:i/>
              </w:rPr>
              <w:t>Dječji vrtić Vukovar 1</w:t>
            </w:r>
          </w:p>
        </w:tc>
        <w:tc>
          <w:tcPr>
            <w:tcW w:w="1276" w:type="dxa"/>
          </w:tcPr>
          <w:p w:rsidR="00DE0ECE" w:rsidRPr="00DE0ECE" w:rsidRDefault="00DE0ECE" w:rsidP="00DD3449">
            <w:pPr>
              <w:jc w:val="center"/>
              <w:rPr>
                <w:rFonts w:ascii="Arial" w:hAnsi="Arial" w:cs="Arial"/>
                <w:i/>
              </w:rPr>
            </w:pPr>
            <w:r w:rsidRPr="00DE0ECE">
              <w:rPr>
                <w:rFonts w:ascii="Arial" w:hAnsi="Arial" w:cs="Arial"/>
                <w:i/>
              </w:rPr>
              <w:t>Načelne primjedbe</w:t>
            </w:r>
          </w:p>
          <w:p w:rsidR="00DE0ECE" w:rsidRPr="00DE0ECE" w:rsidRDefault="00DE0ECE" w:rsidP="00DD3449">
            <w:pPr>
              <w:jc w:val="center"/>
              <w:rPr>
                <w:rFonts w:ascii="Arial" w:hAnsi="Arial" w:cs="Arial"/>
                <w:i/>
              </w:rPr>
            </w:pPr>
          </w:p>
          <w:p w:rsidR="00DE0ECE" w:rsidRDefault="00DE0ECE" w:rsidP="00DD3449">
            <w:pPr>
              <w:jc w:val="center"/>
              <w:rPr>
                <w:rFonts w:ascii="Arial" w:hAnsi="Arial" w:cs="Arial"/>
                <w:i/>
              </w:rPr>
            </w:pPr>
          </w:p>
          <w:p w:rsidR="00DE0ECE" w:rsidRDefault="00DE0ECE" w:rsidP="00DD3449">
            <w:pPr>
              <w:jc w:val="center"/>
              <w:rPr>
                <w:rFonts w:ascii="Arial" w:hAnsi="Arial" w:cs="Arial"/>
                <w:i/>
              </w:rPr>
            </w:pPr>
          </w:p>
          <w:p w:rsidR="00DE0ECE" w:rsidRDefault="00DE0ECE" w:rsidP="00DD3449">
            <w:pPr>
              <w:jc w:val="center"/>
              <w:rPr>
                <w:rFonts w:ascii="Arial" w:hAnsi="Arial" w:cs="Arial"/>
                <w:i/>
              </w:rPr>
            </w:pPr>
          </w:p>
          <w:p w:rsidR="00DE0ECE" w:rsidRDefault="00DE0ECE" w:rsidP="00DD3449">
            <w:pPr>
              <w:jc w:val="center"/>
              <w:rPr>
                <w:rFonts w:ascii="Arial" w:hAnsi="Arial" w:cs="Arial"/>
                <w:i/>
              </w:rPr>
            </w:pPr>
          </w:p>
          <w:p w:rsidR="00DE0ECE" w:rsidRDefault="00DE0ECE" w:rsidP="00DD3449">
            <w:pPr>
              <w:jc w:val="center"/>
              <w:rPr>
                <w:rFonts w:ascii="Arial" w:hAnsi="Arial" w:cs="Arial"/>
                <w:i/>
              </w:rPr>
            </w:pPr>
          </w:p>
          <w:p w:rsidR="00DE0ECE" w:rsidRDefault="00DE0ECE" w:rsidP="00DD3449">
            <w:pPr>
              <w:jc w:val="center"/>
              <w:rPr>
                <w:rFonts w:ascii="Arial" w:hAnsi="Arial" w:cs="Arial"/>
                <w:i/>
              </w:rPr>
            </w:pPr>
          </w:p>
          <w:p w:rsidR="00DE0ECE" w:rsidRDefault="00DE0ECE" w:rsidP="00DD3449">
            <w:pPr>
              <w:jc w:val="center"/>
              <w:rPr>
                <w:rFonts w:ascii="Arial" w:hAnsi="Arial" w:cs="Arial"/>
                <w:i/>
              </w:rPr>
            </w:pPr>
          </w:p>
          <w:p w:rsidR="00DE0ECE" w:rsidRDefault="00DE0ECE" w:rsidP="00DD3449">
            <w:pPr>
              <w:jc w:val="center"/>
              <w:rPr>
                <w:rFonts w:ascii="Arial" w:hAnsi="Arial" w:cs="Arial"/>
                <w:i/>
              </w:rPr>
            </w:pPr>
          </w:p>
          <w:p w:rsidR="00DE0ECE" w:rsidRDefault="00DE0ECE" w:rsidP="00DD3449">
            <w:pPr>
              <w:jc w:val="center"/>
              <w:rPr>
                <w:rFonts w:ascii="Arial" w:hAnsi="Arial" w:cs="Arial"/>
                <w:i/>
              </w:rPr>
            </w:pPr>
          </w:p>
          <w:p w:rsidR="00DE0ECE" w:rsidRDefault="00DE0ECE" w:rsidP="00DD3449">
            <w:pPr>
              <w:jc w:val="center"/>
              <w:rPr>
                <w:rFonts w:ascii="Arial" w:hAnsi="Arial" w:cs="Arial"/>
                <w:i/>
              </w:rPr>
            </w:pPr>
          </w:p>
          <w:p w:rsidR="00DE0ECE" w:rsidRDefault="00DE0ECE" w:rsidP="00DD3449">
            <w:pPr>
              <w:jc w:val="center"/>
              <w:rPr>
                <w:rFonts w:ascii="Arial" w:hAnsi="Arial" w:cs="Arial"/>
                <w:i/>
              </w:rPr>
            </w:pPr>
          </w:p>
          <w:p w:rsidR="00DD7CC5" w:rsidRDefault="00DD7CC5" w:rsidP="00DD3449">
            <w:pPr>
              <w:jc w:val="center"/>
              <w:rPr>
                <w:rFonts w:ascii="Arial" w:hAnsi="Arial" w:cs="Arial"/>
                <w:i/>
              </w:rPr>
            </w:pPr>
          </w:p>
          <w:p w:rsidR="00DD7CC5" w:rsidRDefault="00DD7CC5" w:rsidP="00DD3449">
            <w:pPr>
              <w:jc w:val="center"/>
              <w:rPr>
                <w:rFonts w:ascii="Arial" w:hAnsi="Arial" w:cs="Arial"/>
                <w:i/>
              </w:rPr>
            </w:pPr>
          </w:p>
          <w:p w:rsidR="00DD7CC5" w:rsidRDefault="00DD7CC5" w:rsidP="00DD3449">
            <w:pPr>
              <w:jc w:val="center"/>
              <w:rPr>
                <w:rFonts w:ascii="Arial" w:hAnsi="Arial" w:cs="Arial"/>
                <w:i/>
              </w:rPr>
            </w:pPr>
          </w:p>
          <w:p w:rsidR="00DD7CC5" w:rsidRDefault="00DD7CC5" w:rsidP="00DD3449">
            <w:pPr>
              <w:jc w:val="center"/>
              <w:rPr>
                <w:rFonts w:ascii="Arial" w:hAnsi="Arial" w:cs="Arial"/>
                <w:i/>
              </w:rPr>
            </w:pPr>
          </w:p>
          <w:p w:rsidR="008F78BF" w:rsidRDefault="008F78BF" w:rsidP="00DD3449">
            <w:pPr>
              <w:jc w:val="center"/>
              <w:rPr>
                <w:rFonts w:ascii="Arial" w:hAnsi="Arial" w:cs="Arial"/>
                <w:i/>
              </w:rPr>
            </w:pPr>
            <w:r>
              <w:rPr>
                <w:rFonts w:ascii="Arial" w:hAnsi="Arial" w:cs="Arial"/>
                <w:i/>
              </w:rPr>
              <w:t>Poglavlje</w:t>
            </w:r>
            <w:r w:rsidR="00FF13D2">
              <w:rPr>
                <w:rFonts w:ascii="Arial" w:hAnsi="Arial" w:cs="Arial"/>
                <w:i/>
              </w:rPr>
              <w:t xml:space="preserve"> Sport, kultura i druge aktivnosti slobodnog vremena</w:t>
            </w:r>
          </w:p>
          <w:p w:rsidR="00FF13D2" w:rsidRPr="006C02CD" w:rsidRDefault="00FF13D2" w:rsidP="00DD3449">
            <w:pPr>
              <w:jc w:val="center"/>
              <w:rPr>
                <w:rFonts w:ascii="Arial" w:hAnsi="Arial" w:cs="Arial"/>
                <w:i/>
              </w:rPr>
            </w:pPr>
            <w:r>
              <w:rPr>
                <w:rFonts w:ascii="Arial" w:hAnsi="Arial" w:cs="Arial"/>
                <w:i/>
              </w:rPr>
              <w:t>Aktivnost 4.9.</w:t>
            </w:r>
          </w:p>
        </w:tc>
        <w:tc>
          <w:tcPr>
            <w:tcW w:w="4287" w:type="dxa"/>
          </w:tcPr>
          <w:p w:rsidR="00DE0ECE" w:rsidRPr="00DE0ECE" w:rsidRDefault="00DE0ECE" w:rsidP="00DE0ECE">
            <w:r w:rsidRPr="00DE0ECE">
              <w:t>U Strategiji ne postoje aktivnosti povezane sa sadržajima bliže povijesti, smatramo da je Domovinski rat tema s kojom djeca trebaju biti upoznata na njima prihvatljiv način. Izgradnja vlastitog identiteta, domoljublje, nacionalna osviještenost, ali i prihvaćanje i uvažavanje drugog i drugačijeg vrijednosti su kojima težimo u radu s djecom na tu temu.</w:t>
            </w:r>
          </w:p>
          <w:p w:rsidR="00DE0ECE" w:rsidRDefault="00DE0ECE" w:rsidP="00FF13D2"/>
          <w:p w:rsidR="00DE0ECE" w:rsidRDefault="00DE0ECE" w:rsidP="00FF13D2"/>
          <w:p w:rsidR="00DE0ECE" w:rsidRDefault="00DE0ECE" w:rsidP="00FF13D2"/>
          <w:p w:rsidR="00DE0ECE" w:rsidRDefault="00DE0ECE" w:rsidP="00FF13D2"/>
          <w:p w:rsidR="00DE0ECE" w:rsidRDefault="00DE0ECE" w:rsidP="00FF13D2"/>
          <w:p w:rsidR="00DE0ECE" w:rsidRDefault="00DE0ECE" w:rsidP="00FF13D2"/>
          <w:p w:rsidR="00DE0ECE" w:rsidRDefault="00DE0ECE" w:rsidP="00FF13D2"/>
          <w:p w:rsidR="008F78BF" w:rsidRPr="00DE0ECE" w:rsidRDefault="00FF13D2" w:rsidP="00F947A2">
            <w:r w:rsidRPr="00FF13D2">
              <w:t>Primjedba na IV područje: Sport, kultura i druge aktivnosti slobodnog vremena, 4.9. Aktivnost – etno kućice kao sredstvo razvijanja svijesti o multikulturalnosti ne odgovaraju psihofizičkim osobinama djece toga uzrasta (njihovoj aktivnoj i dinamičnoj prirodi), umjesto navedenog predlažemo aktivnosti u kojima će djeca biti aktivni sudionici u prenošenju tradicijskih znanja i vještina poput 'Olimpijade starih sportova',  'Božičnih običaja naših baka i djedova' i slično. Tim aktivnostima, u koje je moguće uključiti i roditelje i širu obitelj, krajnji cilj je osvijestiti  djeci postojanje multikulturalne sredine u kojoj se nalaze.</w:t>
            </w:r>
          </w:p>
        </w:tc>
        <w:tc>
          <w:tcPr>
            <w:tcW w:w="2601" w:type="dxa"/>
          </w:tcPr>
          <w:p w:rsidR="00DE0ECE" w:rsidRDefault="00DE0ECE" w:rsidP="00DD3449">
            <w:pPr>
              <w:jc w:val="center"/>
              <w:rPr>
                <w:rFonts w:ascii="Arial" w:hAnsi="Arial" w:cs="Arial"/>
                <w:i/>
              </w:rPr>
            </w:pPr>
            <w:r w:rsidRPr="00DE0ECE">
              <w:rPr>
                <w:rFonts w:ascii="Arial" w:hAnsi="Arial" w:cs="Arial"/>
                <w:i/>
              </w:rPr>
              <w:t>Prihvaća se</w:t>
            </w:r>
          </w:p>
          <w:p w:rsidR="00DE0ECE" w:rsidRDefault="00DE0ECE" w:rsidP="00DD3449">
            <w:pPr>
              <w:jc w:val="center"/>
              <w:rPr>
                <w:rFonts w:ascii="Arial" w:hAnsi="Arial" w:cs="Arial"/>
                <w:i/>
              </w:rPr>
            </w:pPr>
          </w:p>
          <w:p w:rsidR="00DE0ECE" w:rsidRPr="00DE0ECE" w:rsidRDefault="00DE0ECE" w:rsidP="00DE0ECE">
            <w:pPr>
              <w:rPr>
                <w:rFonts w:ascii="Arial" w:hAnsi="Arial" w:cs="Arial"/>
                <w:i/>
              </w:rPr>
            </w:pPr>
            <w:r>
              <w:rPr>
                <w:rFonts w:ascii="Arial" w:hAnsi="Arial" w:cs="Arial"/>
                <w:i/>
              </w:rPr>
              <w:t>Na temelju primjedbe u Strategiju će se uvrstiti aktivnost kojom će se djeca upoznati s vrijednostima Domovinskog rata na njima prihvatljiv način.</w:t>
            </w:r>
          </w:p>
          <w:p w:rsidR="00DE0ECE" w:rsidRDefault="00DE0ECE" w:rsidP="00DD3449">
            <w:pPr>
              <w:jc w:val="center"/>
              <w:rPr>
                <w:rFonts w:ascii="Arial" w:hAnsi="Arial" w:cs="Arial"/>
              </w:rPr>
            </w:pPr>
          </w:p>
          <w:p w:rsidR="00DE0ECE" w:rsidRDefault="00DE0ECE" w:rsidP="00DD3449">
            <w:pPr>
              <w:jc w:val="center"/>
              <w:rPr>
                <w:rFonts w:ascii="Arial" w:hAnsi="Arial" w:cs="Arial"/>
              </w:rPr>
            </w:pPr>
          </w:p>
          <w:p w:rsidR="00DE0ECE" w:rsidRDefault="00DE0ECE" w:rsidP="00DD3449">
            <w:pPr>
              <w:jc w:val="center"/>
              <w:rPr>
                <w:rFonts w:ascii="Arial" w:hAnsi="Arial" w:cs="Arial"/>
              </w:rPr>
            </w:pPr>
          </w:p>
          <w:p w:rsidR="00DE0ECE" w:rsidRDefault="00DE0ECE" w:rsidP="00DD3449">
            <w:pPr>
              <w:jc w:val="center"/>
              <w:rPr>
                <w:rFonts w:ascii="Arial" w:hAnsi="Arial" w:cs="Arial"/>
              </w:rPr>
            </w:pPr>
          </w:p>
          <w:p w:rsidR="00DE0ECE" w:rsidRDefault="00DE0ECE" w:rsidP="00DE0ECE">
            <w:pPr>
              <w:rPr>
                <w:rFonts w:ascii="Arial" w:hAnsi="Arial" w:cs="Arial"/>
              </w:rPr>
            </w:pPr>
          </w:p>
          <w:p w:rsidR="00DE0ECE" w:rsidRDefault="00DE0ECE" w:rsidP="00DD3449">
            <w:pPr>
              <w:jc w:val="center"/>
              <w:rPr>
                <w:rFonts w:ascii="Arial" w:hAnsi="Arial" w:cs="Arial"/>
              </w:rPr>
            </w:pPr>
          </w:p>
          <w:p w:rsidR="00DE0ECE" w:rsidRDefault="00DE0ECE" w:rsidP="00DD3449">
            <w:pPr>
              <w:jc w:val="center"/>
              <w:rPr>
                <w:rFonts w:ascii="Arial" w:hAnsi="Arial" w:cs="Arial"/>
              </w:rPr>
            </w:pPr>
          </w:p>
          <w:p w:rsidR="008F78BF" w:rsidRPr="006C02CD" w:rsidRDefault="00FF13D2" w:rsidP="00DD3449">
            <w:pPr>
              <w:jc w:val="center"/>
              <w:rPr>
                <w:rFonts w:ascii="Arial" w:hAnsi="Arial" w:cs="Arial"/>
                <w:i/>
              </w:rPr>
            </w:pPr>
            <w:r>
              <w:rPr>
                <w:rFonts w:ascii="Arial" w:hAnsi="Arial" w:cs="Arial"/>
              </w:rPr>
              <w:t>Prijedlog je prihvaćen te smo isti unijeli u Strategiju</w:t>
            </w:r>
          </w:p>
        </w:tc>
      </w:tr>
      <w:tr w:rsidR="008F78BF" w:rsidRPr="0030367A" w:rsidTr="00D04547">
        <w:tc>
          <w:tcPr>
            <w:tcW w:w="908" w:type="dxa"/>
          </w:tcPr>
          <w:p w:rsidR="008F78BF" w:rsidRPr="006C02CD" w:rsidRDefault="00FF13D2" w:rsidP="00DD3449">
            <w:pPr>
              <w:jc w:val="center"/>
              <w:rPr>
                <w:rFonts w:ascii="Arial" w:hAnsi="Arial" w:cs="Arial"/>
                <w:i/>
              </w:rPr>
            </w:pPr>
            <w:r>
              <w:rPr>
                <w:rFonts w:ascii="Arial" w:hAnsi="Arial" w:cs="Arial"/>
                <w:i/>
              </w:rPr>
              <w:t>4.</w:t>
            </w:r>
          </w:p>
        </w:tc>
        <w:tc>
          <w:tcPr>
            <w:tcW w:w="1610" w:type="dxa"/>
          </w:tcPr>
          <w:p w:rsidR="008F78BF" w:rsidRPr="006C02CD" w:rsidRDefault="00FF13D2" w:rsidP="00DD3449">
            <w:pPr>
              <w:jc w:val="center"/>
              <w:rPr>
                <w:rFonts w:ascii="Arial" w:hAnsi="Arial" w:cs="Arial"/>
                <w:i/>
              </w:rPr>
            </w:pPr>
            <w:r>
              <w:rPr>
                <w:rFonts w:ascii="Arial" w:hAnsi="Arial" w:cs="Arial"/>
                <w:i/>
              </w:rPr>
              <w:t>Dječji vrtić Vukovar 1</w:t>
            </w:r>
          </w:p>
        </w:tc>
        <w:tc>
          <w:tcPr>
            <w:tcW w:w="1276" w:type="dxa"/>
          </w:tcPr>
          <w:p w:rsidR="008F78BF" w:rsidRPr="006C02CD" w:rsidRDefault="00FF13D2" w:rsidP="00DD3449">
            <w:pPr>
              <w:jc w:val="center"/>
              <w:rPr>
                <w:rFonts w:ascii="Arial" w:hAnsi="Arial" w:cs="Arial"/>
                <w:i/>
              </w:rPr>
            </w:pPr>
            <w:r>
              <w:rPr>
                <w:rFonts w:ascii="Arial" w:hAnsi="Arial" w:cs="Arial"/>
                <w:i/>
              </w:rPr>
              <w:t>Poglavlje Sustav obrazovanja</w:t>
            </w:r>
          </w:p>
        </w:tc>
        <w:tc>
          <w:tcPr>
            <w:tcW w:w="4287" w:type="dxa"/>
          </w:tcPr>
          <w:p w:rsidR="008F78BF" w:rsidRPr="00D04547" w:rsidRDefault="00FF13D2" w:rsidP="00F947A2">
            <w:pPr>
              <w:rPr>
                <w:sz w:val="22"/>
                <w:szCs w:val="22"/>
              </w:rPr>
            </w:pPr>
            <w:r w:rsidRPr="00FF13D2">
              <w:t>Prijedlog na III područje: Sustav obrazovanja, 3.2. Aktivnost – uz navedeno ističemo da među svojim zaposlenicima imamo educirane osobe za provođenje  programa Unicefovih rad</w:t>
            </w:r>
            <w:r w:rsidR="00473123">
              <w:t>i</w:t>
            </w:r>
            <w:r w:rsidRPr="00FF13D2">
              <w:t>onica namijenjenih radu s roditeljima djece predškolske dobi te  educirane osobe za provođenje CAP programa – programa prevencije zlostavljanja djece.</w:t>
            </w:r>
          </w:p>
        </w:tc>
        <w:tc>
          <w:tcPr>
            <w:tcW w:w="2601" w:type="dxa"/>
          </w:tcPr>
          <w:p w:rsidR="008F78BF" w:rsidRDefault="00FF13D2" w:rsidP="00DD3449">
            <w:pPr>
              <w:jc w:val="center"/>
              <w:rPr>
                <w:rFonts w:ascii="Arial" w:hAnsi="Arial" w:cs="Arial"/>
                <w:i/>
              </w:rPr>
            </w:pPr>
            <w:r>
              <w:rPr>
                <w:rFonts w:ascii="Arial" w:hAnsi="Arial" w:cs="Arial"/>
                <w:i/>
              </w:rPr>
              <w:t>Prihvaća se.</w:t>
            </w:r>
          </w:p>
          <w:p w:rsidR="00FF13D2" w:rsidRPr="006C02CD" w:rsidRDefault="00473123" w:rsidP="00DD3449">
            <w:pPr>
              <w:jc w:val="center"/>
              <w:rPr>
                <w:rFonts w:ascii="Arial" w:hAnsi="Arial" w:cs="Arial"/>
                <w:i/>
              </w:rPr>
            </w:pPr>
            <w:r>
              <w:rPr>
                <w:rFonts w:ascii="Arial" w:hAnsi="Arial" w:cs="Arial"/>
                <w:i/>
              </w:rPr>
              <w:t>Navedeno se može vrednovati kroz različite indikatore</w:t>
            </w:r>
          </w:p>
        </w:tc>
      </w:tr>
    </w:tbl>
    <w:p w:rsidR="00E206DD" w:rsidRDefault="00E206DD" w:rsidP="00DE0ECE"/>
    <w:sectPr w:rsidR="00E206DD" w:rsidSect="001F29D1">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A2"/>
    <w:rsid w:val="001F29D1"/>
    <w:rsid w:val="002A24CF"/>
    <w:rsid w:val="003B0EF8"/>
    <w:rsid w:val="00473123"/>
    <w:rsid w:val="0058111F"/>
    <w:rsid w:val="008F4655"/>
    <w:rsid w:val="008F78BF"/>
    <w:rsid w:val="00A970B4"/>
    <w:rsid w:val="00D04547"/>
    <w:rsid w:val="00D96E12"/>
    <w:rsid w:val="00DD7CC5"/>
    <w:rsid w:val="00DE0ECE"/>
    <w:rsid w:val="00E206DD"/>
    <w:rsid w:val="00E94436"/>
    <w:rsid w:val="00EA76CD"/>
    <w:rsid w:val="00F947A2"/>
    <w:rsid w:val="00FF13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A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A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dejan-nadj</dc:creator>
  <cp:lastModifiedBy>Miroslav Slafhauzer</cp:lastModifiedBy>
  <cp:revision>2</cp:revision>
  <dcterms:created xsi:type="dcterms:W3CDTF">2017-02-08T13:39:00Z</dcterms:created>
  <dcterms:modified xsi:type="dcterms:W3CDTF">2017-02-08T13:39:00Z</dcterms:modified>
</cp:coreProperties>
</file>